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0554493" w:displacedByCustomXml="next"/>
    <w:sdt>
      <w:sdtPr>
        <w:rPr>
          <w:highlight w:val="yellow"/>
        </w:rPr>
        <w:id w:val="-903673608"/>
        <w:docPartObj>
          <w:docPartGallery w:val="Cover Pages"/>
          <w:docPartUnique/>
        </w:docPartObj>
      </w:sdtPr>
      <w:sdtEndPr>
        <w:rPr>
          <w:rFonts w:ascii="Verdana" w:hAnsi="Verdana"/>
          <w:sz w:val="22"/>
          <w:szCs w:val="22"/>
          <w:highlight w:val="none"/>
        </w:rPr>
      </w:sdtEndPr>
      <w:sdtContent>
        <w:p w14:paraId="516EF01A" w14:textId="2D3BF795" w:rsidR="0046436A" w:rsidRDefault="0046436A" w:rsidP="00CE6B57">
          <w:pPr>
            <w:jc w:val="center"/>
          </w:pPr>
        </w:p>
        <w:p w14:paraId="056A1331" w14:textId="27A14494" w:rsidR="0046436A" w:rsidRDefault="003729AC">
          <w:pPr>
            <w:spacing w:after="160" w:line="259" w:lineRule="auto"/>
            <w:rPr>
              <w:rFonts w:ascii="Verdana" w:hAnsi="Verdana"/>
              <w:sz w:val="22"/>
              <w:szCs w:val="22"/>
            </w:rPr>
          </w:pPr>
          <w:r w:rsidRPr="003729AC">
            <w:rPr>
              <w:rFonts w:ascii="Verdana" w:hAnsi="Verdana"/>
              <w:noProof/>
              <w:sz w:val="22"/>
              <w:szCs w:val="22"/>
            </w:rPr>
            <mc:AlternateContent>
              <mc:Choice Requires="wps">
                <w:drawing>
                  <wp:anchor distT="45720" distB="45720" distL="114300" distR="114300" simplePos="0" relativeHeight="251661312" behindDoc="0" locked="0" layoutInCell="1" allowOverlap="1" wp14:anchorId="70D0B35C" wp14:editId="6A2D5F47">
                    <wp:simplePos x="0" y="0"/>
                    <wp:positionH relativeFrom="column">
                      <wp:posOffset>2178685</wp:posOffset>
                    </wp:positionH>
                    <wp:positionV relativeFrom="paragraph">
                      <wp:posOffset>6831330</wp:posOffset>
                    </wp:positionV>
                    <wp:extent cx="2360930" cy="1404620"/>
                    <wp:effectExtent l="0" t="0" r="28575"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40E4A1DC" w14:textId="7E20AA99" w:rsidR="003729AC" w:rsidRPr="003729AC" w:rsidRDefault="003729AC" w:rsidP="003729AC">
                                <w:pPr>
                                  <w:jc w:val="center"/>
                                  <w:rPr>
                                    <w:b/>
                                    <w:bCs/>
                                    <w:color w:val="0070C0"/>
                                  </w:rPr>
                                </w:pPr>
                                <w:r w:rsidRPr="003729AC">
                                  <w:rPr>
                                    <w:b/>
                                    <w:bCs/>
                                    <w:color w:val="0070C0"/>
                                  </w:rPr>
                                  <w:t>SINTESI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D0B35C" id="_x0000_t202" coordsize="21600,21600" o:spt="202" path="m,l,21600r21600,l21600,xe">
                    <v:stroke joinstyle="miter"/>
                    <v:path gradientshapeok="t" o:connecttype="rect"/>
                  </v:shapetype>
                  <v:shape id="Casella di testo 2" o:spid="_x0000_s1026" type="#_x0000_t202" style="position:absolute;margin-left:171.55pt;margin-top:537.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" fillcolor="white [3201]" strokecolor="#5b9bd5 [3208]" strokeweight="1pt">
                    <v:textbox style="mso-fit-shape-to-text:t">
                      <w:txbxContent>
                        <w:p w14:paraId="40E4A1DC" w14:textId="7E20AA99" w:rsidR="003729AC" w:rsidRPr="003729AC" w:rsidRDefault="003729AC" w:rsidP="003729AC">
                          <w:pPr>
                            <w:jc w:val="center"/>
                            <w:rPr>
                              <w:b/>
                              <w:bCs/>
                              <w:color w:val="0070C0"/>
                            </w:rPr>
                          </w:pPr>
                          <w:r w:rsidRPr="003729AC">
                            <w:rPr>
                              <w:b/>
                              <w:bCs/>
                              <w:color w:val="0070C0"/>
                            </w:rPr>
                            <w:t>SINTESI</w:t>
                          </w:r>
                        </w:p>
                      </w:txbxContent>
                    </v:textbox>
                    <w10:wrap type="square"/>
                  </v:shape>
                </w:pict>
              </mc:Fallback>
            </mc:AlternateContent>
          </w:r>
          <w:r w:rsidR="0046436A">
            <w:rPr>
              <w:rFonts w:ascii="Verdana" w:hAnsi="Verdana"/>
              <w:sz w:val="22"/>
              <w:szCs w:val="22"/>
            </w:rPr>
            <w:br w:type="page"/>
          </w:r>
        </w:p>
      </w:sdtContent>
    </w:sdt>
    <w:p w14:paraId="5B627C1B" w14:textId="77777777" w:rsidR="0046436A" w:rsidRDefault="0046436A" w:rsidP="0005474C">
      <w:pPr>
        <w:spacing w:line="360" w:lineRule="auto"/>
        <w:jc w:val="both"/>
        <w:rPr>
          <w:rFonts w:ascii="Verdana" w:hAnsi="Verdana"/>
          <w:sz w:val="22"/>
          <w:szCs w:val="22"/>
        </w:rPr>
      </w:pPr>
    </w:p>
    <w:p w14:paraId="6C5CDC84" w14:textId="1AB577A5" w:rsidR="0046436A" w:rsidRDefault="0046436A">
      <w:pPr>
        <w:spacing w:after="160" w:line="259" w:lineRule="auto"/>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4" behindDoc="0" locked="0" layoutInCell="1" allowOverlap="1" wp14:anchorId="3EBBA6FE" wp14:editId="2321E054">
                <wp:simplePos x="0" y="0"/>
                <wp:positionH relativeFrom="column">
                  <wp:posOffset>5556885</wp:posOffset>
                </wp:positionH>
                <wp:positionV relativeFrom="paragraph">
                  <wp:posOffset>8484870</wp:posOffset>
                </wp:positionV>
                <wp:extent cx="914400" cy="628650"/>
                <wp:effectExtent l="0" t="0" r="19050" b="19050"/>
                <wp:wrapNone/>
                <wp:docPr id="5" name="Rettangolo 5"/>
                <wp:cNvGraphicFramePr/>
                <a:graphic xmlns:a="http://schemas.openxmlformats.org/drawingml/2006/main">
                  <a:graphicData uri="http://schemas.microsoft.com/office/word/2010/wordprocessingShape">
                    <wps:wsp>
                      <wps:cNvSpPr/>
                      <wps:spPr>
                        <a:xfrm>
                          <a:off x="0" y="0"/>
                          <a:ext cx="914400" cy="628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D91958" id="Rettangolo 5" o:spid="_x0000_s1026" style="position:absolute;margin-left:437.55pt;margin-top:668.1pt;width:1in;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" fillcolor="white [3212]" strokecolor="white [3212]" strokeweight="1pt"/>
            </w:pict>
          </mc:Fallback>
        </mc:AlternateContent>
      </w:r>
      <w:r>
        <w:rPr>
          <w:rFonts w:ascii="Verdana" w:hAnsi="Verdana"/>
          <w:sz w:val="22"/>
          <w:szCs w:val="22"/>
        </w:rPr>
        <w:br w:type="page"/>
      </w:r>
    </w:p>
    <w:p w14:paraId="74DCF9DC" w14:textId="6C3FF312"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lastRenderedPageBreak/>
        <w:t>La struttura d</w:t>
      </w:r>
      <w:r w:rsidR="00C752CE">
        <w:rPr>
          <w:rFonts w:ascii="Verdana" w:hAnsi="Verdana"/>
          <w:sz w:val="22"/>
          <w:szCs w:val="22"/>
        </w:rPr>
        <w:t>el</w:t>
      </w:r>
      <w:r w:rsidRPr="0005474C">
        <w:rPr>
          <w:rFonts w:ascii="Verdana" w:hAnsi="Verdana"/>
          <w:sz w:val="22"/>
          <w:szCs w:val="22"/>
        </w:rPr>
        <w:t xml:space="preserve"> rapporto, giunto alla sua undicesima edizione, è oramai consolidata anche se a partire dall’emergenza pandemica del 2020 si è arricchita di nuovi contributi per meglio interpretare le profonde discontinuità economiche, sociali e perfino culturali che la crisi ha determinato all’interno del mondo dei pubblici esercizi. </w:t>
      </w:r>
    </w:p>
    <w:p w14:paraId="5C6A6D59" w14:textId="2BFC0069"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 xml:space="preserve">Con la fine del 2021 sembrava che il settore fosse uscito dalla fase più acuta della crisi indotta dalle misure di contrasto della pandemia e definitivamente avviato verso il pieno recupero delle posizioni perse in termini di consumi, occupazione, </w:t>
      </w:r>
      <w:r w:rsidR="00DD2645">
        <w:rPr>
          <w:rFonts w:ascii="Verdana" w:hAnsi="Verdana"/>
          <w:sz w:val="22"/>
          <w:szCs w:val="22"/>
        </w:rPr>
        <w:t>redditività</w:t>
      </w:r>
      <w:r w:rsidRPr="0005474C">
        <w:rPr>
          <w:rFonts w:ascii="Verdana" w:hAnsi="Verdana"/>
          <w:sz w:val="22"/>
          <w:szCs w:val="22"/>
        </w:rPr>
        <w:t xml:space="preserve">. E invece la strada della resilienza </w:t>
      </w:r>
      <w:r w:rsidR="00814F40">
        <w:rPr>
          <w:rFonts w:ascii="Verdana" w:hAnsi="Verdana"/>
          <w:sz w:val="22"/>
          <w:szCs w:val="22"/>
        </w:rPr>
        <w:t>ha continuato ad essere</w:t>
      </w:r>
      <w:r w:rsidRPr="0005474C">
        <w:rPr>
          <w:rFonts w:ascii="Verdana" w:hAnsi="Verdana"/>
          <w:sz w:val="22"/>
          <w:szCs w:val="22"/>
        </w:rPr>
        <w:t xml:space="preserve"> lastricata da nuove insidie le cui avvisaglie si erano già avute sul finire del 2021 quando le “strozzature” nelle catene globali del valore hanno creato forti tensioni sui prezzi delle materie prime, incluse quelle energetiche.</w:t>
      </w:r>
    </w:p>
    <w:p w14:paraId="79F1D60E" w14:textId="7DA87C48"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Da lì in avanti</w:t>
      </w:r>
      <w:r w:rsidR="00814F40">
        <w:rPr>
          <w:rFonts w:ascii="Verdana" w:hAnsi="Verdana"/>
          <w:sz w:val="22"/>
          <w:szCs w:val="22"/>
        </w:rPr>
        <w:t>,</w:t>
      </w:r>
      <w:r w:rsidRPr="0005474C">
        <w:rPr>
          <w:rFonts w:ascii="Verdana" w:hAnsi="Verdana"/>
          <w:sz w:val="22"/>
          <w:szCs w:val="22"/>
        </w:rPr>
        <w:t xml:space="preserve"> anche per effetto del mutato quadro geo-politico determinato dall’invasione dell’Ucraina da parte della Federazione Russa, l’inflazione ha iniziato a correre trainata dai prezzi dei prodotti energetici.</w:t>
      </w:r>
    </w:p>
    <w:p w14:paraId="4DADD869" w14:textId="3B327D93"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 xml:space="preserve">I pubblici esercizi hanno dovuto immediatamente fare i conti con l’impennata dei prezzi dei prodotti alimentari ed in alcuni casi con la difficoltà di approvvigionamento per alcuni prodotti e soprattutto con i prezzi fuori controllo della bolletta energetica. </w:t>
      </w:r>
      <w:r w:rsidR="00814F40">
        <w:rPr>
          <w:rFonts w:ascii="Verdana" w:hAnsi="Verdana"/>
          <w:sz w:val="22"/>
          <w:szCs w:val="22"/>
        </w:rPr>
        <w:t>A fronte di</w:t>
      </w:r>
      <w:r w:rsidRPr="0005474C">
        <w:rPr>
          <w:rFonts w:ascii="Verdana" w:hAnsi="Verdana"/>
          <w:sz w:val="22"/>
          <w:szCs w:val="22"/>
        </w:rPr>
        <w:t xml:space="preserve"> aumenti del 200% dei costi di luce e gas la tenuta dei conti delle aziende, anche dinanzi ad una domanda che ripartiva in modo sostenuto, assumeva il profilo di un’equazione senza soluzioni.</w:t>
      </w:r>
    </w:p>
    <w:p w14:paraId="215421C4" w14:textId="598CC881"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 xml:space="preserve">In questo nuovo scenario va collocata la lettura di questo rapporto soprattutto </w:t>
      </w:r>
      <w:r w:rsidR="00814F40">
        <w:rPr>
          <w:rFonts w:ascii="Verdana" w:hAnsi="Verdana"/>
          <w:sz w:val="22"/>
          <w:szCs w:val="22"/>
        </w:rPr>
        <w:t xml:space="preserve">per </w:t>
      </w:r>
      <w:r w:rsidRPr="0005474C">
        <w:rPr>
          <w:rFonts w:ascii="Verdana" w:hAnsi="Verdana"/>
          <w:sz w:val="22"/>
          <w:szCs w:val="22"/>
        </w:rPr>
        <w:t xml:space="preserve">le buone performance in termini di consumi e di livelli occupazionali da cui si rileva che l’emorragia pandemica è stata quasi interamente riassorbita.  </w:t>
      </w:r>
    </w:p>
    <w:p w14:paraId="33A02C14" w14:textId="109109CB"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Il rapporto, come al solito, analizza le principali variabili macro del settore ma non trascura anche alcuni fenomeni micro come, ad esempio, quello relativo alla dinamica dei prezzi di alcuni prodotti di punta del consumo alimentare fuori casa. Struttura del sistema imprenditoriale, dinamica dei consumi e comportamenti dei consumatori, stato dell’occupazione sono, con tutta evidenza, i punti di forza anche del rapporto di quest’anno attraverso informazioni generalmente tra le più aggiornate ed elaborate anche in serie storic</w:t>
      </w:r>
      <w:r w:rsidR="00814F40">
        <w:rPr>
          <w:rFonts w:ascii="Verdana" w:hAnsi="Verdana"/>
          <w:sz w:val="22"/>
          <w:szCs w:val="22"/>
        </w:rPr>
        <w:t>a</w:t>
      </w:r>
      <w:r w:rsidRPr="0005474C">
        <w:rPr>
          <w:rFonts w:ascii="Verdana" w:hAnsi="Verdana"/>
          <w:sz w:val="22"/>
          <w:szCs w:val="22"/>
        </w:rPr>
        <w:t xml:space="preserve"> per avere contezza dell’evoluzione dei fenomeni tirando una riga tra prima e dopo la pandemia. Ma c’è anche uno specifico approfondimento sui modelli organizzativi delle imprese per rilevare come si sono riorganizzate dopo lo shock pandemico in termini di orari e di giorni di apertura </w:t>
      </w:r>
      <w:r w:rsidR="00814F40">
        <w:rPr>
          <w:rFonts w:ascii="Verdana" w:hAnsi="Verdana"/>
          <w:sz w:val="22"/>
          <w:szCs w:val="22"/>
        </w:rPr>
        <w:t>con l’obiettivo di dare risposta</w:t>
      </w:r>
      <w:r w:rsidRPr="0005474C">
        <w:rPr>
          <w:rFonts w:ascii="Verdana" w:hAnsi="Verdana"/>
          <w:sz w:val="22"/>
          <w:szCs w:val="22"/>
        </w:rPr>
        <w:t>, tra l’altro, alla perdurante difficoltà di reperimento di personale qualificato dovuta in parte ai nuovi bisogni di conciliazione tra vita e lavoro.</w:t>
      </w:r>
    </w:p>
    <w:p w14:paraId="22C7C6DF" w14:textId="77777777"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lastRenderedPageBreak/>
        <w:t xml:space="preserve">La prima parte del lavoro è dedicata all’analisi del contesto macroeconomico soprattutto per ciò che riguarda la dinamica del prodotto interno lordo, dell’occupazione e dei consumi. </w:t>
      </w:r>
    </w:p>
    <w:p w14:paraId="6525170D" w14:textId="0DF2B5A0"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 xml:space="preserve">La seconda parte si concentra sull’osservazione della struttura e della dinamica imprenditoriale utilizzando </w:t>
      </w:r>
      <w:r w:rsidR="00814F40">
        <w:rPr>
          <w:rFonts w:ascii="Verdana" w:hAnsi="Verdana"/>
          <w:sz w:val="22"/>
          <w:szCs w:val="22"/>
        </w:rPr>
        <w:t xml:space="preserve">il registro delle imprese </w:t>
      </w:r>
      <w:r w:rsidRPr="0005474C">
        <w:rPr>
          <w:rFonts w:ascii="Verdana" w:hAnsi="Verdana"/>
          <w:sz w:val="22"/>
          <w:szCs w:val="22"/>
        </w:rPr>
        <w:t>delle Camere di Commercio. Stock, natalità e mortalità sono i principali fenomeni indagati. Il legame di queste imprese con il territorio ha reso inevitabile la presentazione delle informazioni almeno a livello regionale, non potendo in questa sede, per evidenti ragioni di sintesi, scendere ad un livello di disaggregazione maggiore anche se l’approfondimento inserito in chiusura del capitolo si spinge fino a livello comunale e addirittura sub-comunale.</w:t>
      </w:r>
    </w:p>
    <w:p w14:paraId="5AF236D9" w14:textId="77777777"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La terza parte è interamente focalizzata sulle performance economiche del settore con analisi di valore aggiunto, occupazione e produttività. La lettura delle dinamiche strutturali di medio-lungo termine si accompagna alla descrizione di dati aggiornati e al monitoraggio della congiuntura per mezzo dell’osservatorio trimestrale della Federazione. Mai come in quest’ultimo anno il tema prezzi è all’ordine del giorno e per questo il rapporto vi dedica ampio spazio per consentire di coglierne sia la dinamica che il livello.</w:t>
      </w:r>
    </w:p>
    <w:p w14:paraId="192EF69B" w14:textId="18754EB0" w:rsidR="0005474C" w:rsidRPr="0005474C" w:rsidRDefault="00814F40" w:rsidP="0005474C">
      <w:pPr>
        <w:spacing w:line="360" w:lineRule="auto"/>
        <w:jc w:val="both"/>
        <w:rPr>
          <w:rFonts w:ascii="Verdana" w:hAnsi="Verdana"/>
          <w:sz w:val="22"/>
          <w:szCs w:val="22"/>
        </w:rPr>
      </w:pPr>
      <w:r>
        <w:rPr>
          <w:rFonts w:ascii="Verdana" w:hAnsi="Verdana"/>
          <w:sz w:val="22"/>
          <w:szCs w:val="22"/>
        </w:rPr>
        <w:t>I</w:t>
      </w:r>
      <w:r w:rsidR="0005474C" w:rsidRPr="0005474C">
        <w:rPr>
          <w:rFonts w:ascii="Verdana" w:hAnsi="Verdana"/>
          <w:sz w:val="22"/>
          <w:szCs w:val="22"/>
        </w:rPr>
        <w:t>l quarto capitolo raccoglie il punto di vista degli imprenditori sui diversi fenomeni che attraversano la vita di un pubblico esercizio con una specifica attenzione proprio agli aspetti più pratici di organizzazione dell’attività.</w:t>
      </w:r>
    </w:p>
    <w:p w14:paraId="39B74EA2" w14:textId="77777777"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 xml:space="preserve">Il quinto capitolo è centrato, grazie al contributo di </w:t>
      </w:r>
      <w:proofErr w:type="spellStart"/>
      <w:r w:rsidRPr="0005474C">
        <w:rPr>
          <w:rFonts w:ascii="Verdana" w:hAnsi="Verdana"/>
          <w:sz w:val="22"/>
          <w:szCs w:val="22"/>
        </w:rPr>
        <w:t>Tradelab</w:t>
      </w:r>
      <w:proofErr w:type="spellEnd"/>
      <w:r w:rsidRPr="0005474C">
        <w:rPr>
          <w:rFonts w:ascii="Verdana" w:hAnsi="Verdana"/>
          <w:sz w:val="22"/>
          <w:szCs w:val="22"/>
        </w:rPr>
        <w:t xml:space="preserve">, sulla dinamica dei consumi alimentari fuori casa anche nel confronto con quelli domestici. Ampio spazio è riservato alla frequentazione dei luoghi di consumo per area geografica, dimensione del centro, canale e occasione. </w:t>
      </w:r>
    </w:p>
    <w:p w14:paraId="48506AC7" w14:textId="675872DA"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 xml:space="preserve">Il rapporto si chiude con due contributi di </w:t>
      </w:r>
      <w:proofErr w:type="spellStart"/>
      <w:r w:rsidRPr="0005474C">
        <w:rPr>
          <w:rFonts w:ascii="Verdana" w:hAnsi="Verdana"/>
          <w:sz w:val="22"/>
          <w:szCs w:val="22"/>
        </w:rPr>
        <w:t>Bain&amp;Company</w:t>
      </w:r>
      <w:proofErr w:type="spellEnd"/>
      <w:r w:rsidRPr="0005474C">
        <w:rPr>
          <w:rFonts w:ascii="Verdana" w:hAnsi="Verdana"/>
          <w:sz w:val="22"/>
          <w:szCs w:val="22"/>
        </w:rPr>
        <w:t>: il primo focalizzato sull’analisi dei trend che stanno caratterizzando il settore ed il secondo finalizzato a raccogliere il punto di vista degli operatori della filiera, in primis l’industria, sulle prospettive del settore e sulle strategie che stanno adottando per migliorare l’efficienza e le performance di questo mercato.</w:t>
      </w:r>
    </w:p>
    <w:p w14:paraId="501D2A89" w14:textId="77777777" w:rsidR="0005474C" w:rsidRPr="0005474C" w:rsidRDefault="0005474C" w:rsidP="0005474C">
      <w:pPr>
        <w:spacing w:line="360" w:lineRule="auto"/>
        <w:jc w:val="both"/>
        <w:rPr>
          <w:rFonts w:ascii="Verdana" w:hAnsi="Verdana"/>
          <w:sz w:val="22"/>
          <w:szCs w:val="22"/>
        </w:rPr>
      </w:pPr>
      <w:r w:rsidRPr="0005474C">
        <w:rPr>
          <w:rFonts w:ascii="Verdana" w:hAnsi="Verdana"/>
          <w:sz w:val="22"/>
          <w:szCs w:val="22"/>
        </w:rPr>
        <w:t>I capitoli continuano ad essere arricchiti da approfondimenti su temi di particolare rilevanza per meglio comprendere alcuni fenomeni che attraversano il sistema dei pubblici esercizi in Italia.</w:t>
      </w:r>
    </w:p>
    <w:p w14:paraId="09F5A63C" w14:textId="77777777" w:rsidR="0005474C" w:rsidRDefault="0005474C" w:rsidP="0005474C"/>
    <w:p w14:paraId="19733C4C" w14:textId="77777777" w:rsidR="0005474C" w:rsidRDefault="0005474C" w:rsidP="0059471D">
      <w:pPr>
        <w:rPr>
          <w:rFonts w:ascii="Garamond" w:hAnsi="Garamond"/>
          <w:b/>
          <w:bCs/>
          <w:iCs/>
          <w:color w:val="003F7E"/>
          <w:sz w:val="32"/>
        </w:rPr>
      </w:pPr>
    </w:p>
    <w:p w14:paraId="603016F8" w14:textId="77777777" w:rsidR="0005474C" w:rsidRDefault="0005474C">
      <w:pPr>
        <w:spacing w:after="160" w:line="259" w:lineRule="auto"/>
        <w:rPr>
          <w:rFonts w:ascii="Garamond" w:hAnsi="Garamond"/>
          <w:b/>
          <w:bCs/>
          <w:iCs/>
          <w:color w:val="003F7E"/>
          <w:sz w:val="32"/>
        </w:rPr>
      </w:pPr>
      <w:r>
        <w:rPr>
          <w:rFonts w:ascii="Garamond" w:hAnsi="Garamond"/>
          <w:b/>
          <w:bCs/>
          <w:iCs/>
          <w:color w:val="003F7E"/>
          <w:sz w:val="32"/>
        </w:rPr>
        <w:br w:type="page"/>
      </w:r>
    </w:p>
    <w:p w14:paraId="4D9C828B" w14:textId="0CCE44BF" w:rsidR="0059471D" w:rsidRDefault="0059471D" w:rsidP="0059471D">
      <w:pPr>
        <w:rPr>
          <w:rFonts w:ascii="Garamond" w:hAnsi="Garamond"/>
          <w:b/>
          <w:color w:val="003F7E"/>
          <w:sz w:val="32"/>
        </w:rPr>
      </w:pPr>
      <w:r w:rsidRPr="006B7A98">
        <w:rPr>
          <w:rFonts w:ascii="Garamond" w:hAnsi="Garamond"/>
          <w:b/>
          <w:bCs/>
          <w:iCs/>
          <w:color w:val="003F7E"/>
          <w:sz w:val="32"/>
        </w:rPr>
        <w:lastRenderedPageBreak/>
        <w:t>I</w:t>
      </w:r>
      <w:r w:rsidRPr="006B7A98">
        <w:rPr>
          <w:rFonts w:ascii="Garamond" w:hAnsi="Garamond"/>
          <w:b/>
          <w:color w:val="003F7E"/>
          <w:sz w:val="32"/>
        </w:rPr>
        <w:t xml:space="preserve"> principali risultati</w:t>
      </w:r>
    </w:p>
    <w:p w14:paraId="4E0ACDC7" w14:textId="77777777" w:rsidR="00D07F79" w:rsidRPr="006B7A98" w:rsidRDefault="00D07F79" w:rsidP="0059471D">
      <w:pPr>
        <w:rPr>
          <w:rFonts w:ascii="Garamond" w:hAnsi="Garamond"/>
          <w:b/>
          <w:bCs/>
          <w:iCs/>
          <w:color w:val="003F7E"/>
          <w:sz w:val="32"/>
        </w:rPr>
      </w:pPr>
    </w:p>
    <w:p w14:paraId="27710AE2" w14:textId="0281022F" w:rsidR="00A76B3B" w:rsidRPr="00A76B3B" w:rsidRDefault="00A76B3B" w:rsidP="00A76B3B">
      <w:pPr>
        <w:spacing w:line="360" w:lineRule="auto"/>
        <w:jc w:val="both"/>
        <w:rPr>
          <w:rFonts w:ascii="Verdana" w:hAnsi="Verdana"/>
          <w:sz w:val="22"/>
          <w:szCs w:val="22"/>
        </w:rPr>
      </w:pPr>
      <w:r w:rsidRPr="00A76B3B">
        <w:rPr>
          <w:rFonts w:ascii="Verdana" w:hAnsi="Verdana"/>
          <w:sz w:val="22"/>
          <w:szCs w:val="22"/>
        </w:rPr>
        <w:t>A dicembre 2022 sono 336 mila le imprese attive nel mercato della ristorazione. 9.688 imprese hanno avviato l’attività nel corso dell’anno mentre 20.384 l’hanno cessata portando il saldo a -10.696 unità.</w:t>
      </w:r>
    </w:p>
    <w:p w14:paraId="3CFBEE8C" w14:textId="3B5566E6" w:rsidR="00A76B3B" w:rsidRDefault="00A76B3B" w:rsidP="00A76B3B">
      <w:pPr>
        <w:spacing w:after="160" w:line="259" w:lineRule="auto"/>
        <w:rPr>
          <w:rFonts w:ascii="Arial" w:hAnsi="Arial" w:cs="Arial"/>
          <w:b/>
          <w:bCs/>
          <w:color w:val="003F7E"/>
          <w:sz w:val="20"/>
          <w:szCs w:val="20"/>
        </w:rPr>
      </w:pPr>
      <w:r w:rsidRPr="003321FC">
        <w:rPr>
          <w:rFonts w:ascii="Arial" w:hAnsi="Arial" w:cs="Arial"/>
          <w:b/>
          <w:bCs/>
          <w:color w:val="003F7E"/>
          <w:sz w:val="20"/>
          <w:szCs w:val="20"/>
        </w:rPr>
        <w:t>Servizi di ristorazione</w:t>
      </w:r>
      <w:r>
        <w:rPr>
          <w:rFonts w:ascii="Arial" w:hAnsi="Arial" w:cs="Arial"/>
          <w:b/>
          <w:bCs/>
          <w:color w:val="003F7E"/>
          <w:sz w:val="20"/>
          <w:szCs w:val="20"/>
        </w:rPr>
        <w:t>:</w:t>
      </w:r>
      <w:r w:rsidRPr="003321FC">
        <w:rPr>
          <w:rFonts w:ascii="Arial" w:hAnsi="Arial" w:cs="Arial"/>
          <w:b/>
          <w:bCs/>
          <w:color w:val="003F7E"/>
          <w:sz w:val="20"/>
          <w:szCs w:val="20"/>
        </w:rPr>
        <w:t xml:space="preserve"> </w:t>
      </w:r>
      <w:proofErr w:type="spellStart"/>
      <w:r w:rsidRPr="003321FC">
        <w:rPr>
          <w:rFonts w:ascii="Arial" w:hAnsi="Arial" w:cs="Arial"/>
          <w:b/>
          <w:bCs/>
          <w:color w:val="003F7E"/>
          <w:sz w:val="20"/>
          <w:szCs w:val="20"/>
        </w:rPr>
        <w:t>movimprese</w:t>
      </w:r>
      <w:proofErr w:type="spellEnd"/>
      <w:r w:rsidRPr="003321FC">
        <w:rPr>
          <w:rFonts w:ascii="Arial" w:hAnsi="Arial" w:cs="Arial"/>
          <w:b/>
          <w:bCs/>
          <w:color w:val="003F7E"/>
          <w:sz w:val="20"/>
          <w:szCs w:val="20"/>
        </w:rPr>
        <w:t xml:space="preserve"> 20</w:t>
      </w:r>
      <w:r>
        <w:rPr>
          <w:rFonts w:ascii="Arial" w:hAnsi="Arial" w:cs="Arial"/>
          <w:b/>
          <w:bCs/>
          <w:color w:val="003F7E"/>
          <w:sz w:val="20"/>
          <w:szCs w:val="20"/>
        </w:rPr>
        <w:t>22</w:t>
      </w:r>
    </w:p>
    <w:p w14:paraId="27FB54D1" w14:textId="77777777" w:rsidR="00A76B3B" w:rsidRDefault="00A76B3B" w:rsidP="00A76B3B">
      <w:pPr>
        <w:spacing w:line="360" w:lineRule="auto"/>
        <w:jc w:val="center"/>
        <w:rPr>
          <w:rFonts w:ascii="Garamond" w:hAnsi="Garamond"/>
          <w:b/>
          <w:color w:val="003F7E"/>
        </w:rPr>
      </w:pPr>
      <w:r>
        <w:rPr>
          <w:noProof/>
        </w:rPr>
        <w:drawing>
          <wp:inline distT="0" distB="0" distL="0" distR="0" wp14:anchorId="2338D479" wp14:editId="563BE2A6">
            <wp:extent cx="5476875" cy="2838450"/>
            <wp:effectExtent l="0" t="0" r="9525"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FF1953D" w14:textId="77777777" w:rsidR="00A76B3B" w:rsidRDefault="00A76B3B" w:rsidP="00A76B3B">
      <w:pPr>
        <w:spacing w:line="360" w:lineRule="auto"/>
        <w:ind w:firstLine="426"/>
        <w:jc w:val="both"/>
        <w:rPr>
          <w:rFonts w:ascii="Arial" w:hAnsi="Arial" w:cs="Arial"/>
          <w:color w:val="003F7E"/>
          <w:sz w:val="16"/>
          <w:szCs w:val="16"/>
        </w:rPr>
      </w:pPr>
      <w:r>
        <w:rPr>
          <w:rFonts w:ascii="Arial" w:hAnsi="Arial" w:cs="Arial"/>
          <w:color w:val="003F7E"/>
          <w:sz w:val="16"/>
          <w:szCs w:val="16"/>
        </w:rPr>
        <w:t>(*) cessazioni non d’ufficio</w:t>
      </w:r>
    </w:p>
    <w:p w14:paraId="21F731A9" w14:textId="77777777" w:rsidR="00A76B3B" w:rsidRPr="003321FC" w:rsidRDefault="00A76B3B" w:rsidP="00A76B3B">
      <w:pPr>
        <w:spacing w:line="360" w:lineRule="auto"/>
        <w:ind w:firstLine="426"/>
        <w:jc w:val="both"/>
        <w:rPr>
          <w:rFonts w:ascii="Arial" w:hAnsi="Arial" w:cs="Arial"/>
          <w:color w:val="003F7E"/>
          <w:sz w:val="16"/>
          <w:szCs w:val="16"/>
        </w:rPr>
      </w:pPr>
      <w:r w:rsidRPr="003321FC">
        <w:rPr>
          <w:rFonts w:ascii="Arial" w:hAnsi="Arial" w:cs="Arial"/>
          <w:color w:val="003F7E"/>
          <w:sz w:val="16"/>
          <w:szCs w:val="16"/>
        </w:rPr>
        <w:t>Fonte: elaborazione C.S.</w:t>
      </w:r>
      <w:r>
        <w:rPr>
          <w:rFonts w:ascii="Arial" w:hAnsi="Arial" w:cs="Arial"/>
          <w:color w:val="003F7E"/>
          <w:sz w:val="16"/>
          <w:szCs w:val="16"/>
        </w:rPr>
        <w:t xml:space="preserve"> </w:t>
      </w:r>
      <w:r w:rsidRPr="003321FC">
        <w:rPr>
          <w:rFonts w:ascii="Arial" w:hAnsi="Arial" w:cs="Arial"/>
          <w:color w:val="003F7E"/>
          <w:sz w:val="16"/>
          <w:szCs w:val="16"/>
        </w:rPr>
        <w:t>Fipe su dati Infocamere</w:t>
      </w:r>
    </w:p>
    <w:p w14:paraId="4182F780" w14:textId="77777777" w:rsidR="00A76B3B" w:rsidRDefault="00A76B3B" w:rsidP="00DE70E2">
      <w:pPr>
        <w:autoSpaceDE w:val="0"/>
        <w:autoSpaceDN w:val="0"/>
        <w:adjustRightInd w:val="0"/>
        <w:spacing w:line="360" w:lineRule="auto"/>
        <w:jc w:val="both"/>
        <w:rPr>
          <w:rFonts w:ascii="Verdana" w:hAnsi="Verdana"/>
          <w:sz w:val="22"/>
          <w:szCs w:val="22"/>
        </w:rPr>
      </w:pPr>
    </w:p>
    <w:p w14:paraId="6452419B" w14:textId="26106844" w:rsidR="00A76B3B" w:rsidRPr="00A76B3B" w:rsidRDefault="00A76B3B" w:rsidP="00A76B3B">
      <w:pPr>
        <w:autoSpaceDE w:val="0"/>
        <w:autoSpaceDN w:val="0"/>
        <w:adjustRightInd w:val="0"/>
        <w:spacing w:line="360" w:lineRule="auto"/>
        <w:jc w:val="both"/>
        <w:rPr>
          <w:rFonts w:ascii="Verdana" w:eastAsiaTheme="minorEastAsia" w:hAnsi="Verdana" w:cs="Tahoma"/>
          <w:bCs/>
          <w:sz w:val="22"/>
          <w:szCs w:val="22"/>
        </w:rPr>
      </w:pPr>
      <w:r w:rsidRPr="00A76B3B">
        <w:rPr>
          <w:rFonts w:ascii="Verdana" w:eastAsiaTheme="minorEastAsia" w:hAnsi="Verdana" w:cs="Tahoma"/>
          <w:bCs/>
          <w:sz w:val="22"/>
          <w:szCs w:val="22"/>
        </w:rPr>
        <w:t xml:space="preserve">Le imprese gestite da donne sono 110.806 pari al 28,2% del totale delle </w:t>
      </w:r>
      <w:r w:rsidR="003632E7">
        <w:rPr>
          <w:rFonts w:ascii="Verdana" w:eastAsiaTheme="minorEastAsia" w:hAnsi="Verdana" w:cs="Tahoma"/>
          <w:bCs/>
          <w:sz w:val="22"/>
          <w:szCs w:val="22"/>
        </w:rPr>
        <w:t xml:space="preserve">imprese </w:t>
      </w:r>
      <w:r w:rsidRPr="00A76B3B">
        <w:rPr>
          <w:rFonts w:ascii="Verdana" w:eastAsiaTheme="minorEastAsia" w:hAnsi="Verdana" w:cs="Tahoma"/>
          <w:bCs/>
          <w:sz w:val="22"/>
          <w:szCs w:val="22"/>
        </w:rPr>
        <w:t>registrate. Quelle gestite da giovani under 35 sono 48.408</w:t>
      </w:r>
      <w:r w:rsidR="003632E7">
        <w:rPr>
          <w:rFonts w:ascii="Verdana" w:eastAsiaTheme="minorEastAsia" w:hAnsi="Verdana" w:cs="Tahoma"/>
          <w:bCs/>
          <w:sz w:val="22"/>
          <w:szCs w:val="22"/>
        </w:rPr>
        <w:t xml:space="preserve"> (</w:t>
      </w:r>
      <w:r w:rsidRPr="00A76B3B">
        <w:rPr>
          <w:rFonts w:ascii="Verdana" w:eastAsiaTheme="minorEastAsia" w:hAnsi="Verdana" w:cs="Tahoma"/>
          <w:bCs/>
          <w:sz w:val="22"/>
          <w:szCs w:val="22"/>
        </w:rPr>
        <w:t>12</w:t>
      </w:r>
      <w:r w:rsidR="003632E7">
        <w:rPr>
          <w:rFonts w:ascii="Verdana" w:eastAsiaTheme="minorEastAsia" w:hAnsi="Verdana" w:cs="Tahoma"/>
          <w:bCs/>
          <w:sz w:val="22"/>
          <w:szCs w:val="22"/>
        </w:rPr>
        <w:t>,</w:t>
      </w:r>
      <w:r w:rsidRPr="00A76B3B">
        <w:rPr>
          <w:rFonts w:ascii="Verdana" w:eastAsiaTheme="minorEastAsia" w:hAnsi="Verdana" w:cs="Tahoma"/>
          <w:bCs/>
          <w:sz w:val="22"/>
          <w:szCs w:val="22"/>
        </w:rPr>
        <w:t>3% del totale</w:t>
      </w:r>
      <w:r w:rsidR="003632E7">
        <w:rPr>
          <w:rFonts w:ascii="Verdana" w:eastAsiaTheme="minorEastAsia" w:hAnsi="Verdana" w:cs="Tahoma"/>
          <w:bCs/>
          <w:sz w:val="22"/>
          <w:szCs w:val="22"/>
        </w:rPr>
        <w:t>)</w:t>
      </w:r>
      <w:r w:rsidRPr="00A76B3B">
        <w:rPr>
          <w:rFonts w:ascii="Verdana" w:eastAsiaTheme="minorEastAsia" w:hAnsi="Verdana" w:cs="Tahoma"/>
          <w:bCs/>
          <w:sz w:val="22"/>
          <w:szCs w:val="22"/>
        </w:rPr>
        <w:t xml:space="preserve"> così distribuite: 59,0% ristoranti, 40,3% bar e 0,7% mense e catering. Sono più di 50mila le imprese con “titolari” stranieri, pari quasi al 13% del totale delle </w:t>
      </w:r>
      <w:r w:rsidR="003632E7">
        <w:rPr>
          <w:rFonts w:ascii="Verdana" w:eastAsiaTheme="minorEastAsia" w:hAnsi="Verdana" w:cs="Tahoma"/>
          <w:bCs/>
          <w:sz w:val="22"/>
          <w:szCs w:val="22"/>
        </w:rPr>
        <w:t xml:space="preserve">imprese </w:t>
      </w:r>
      <w:r w:rsidRPr="00A76B3B">
        <w:rPr>
          <w:rFonts w:ascii="Verdana" w:eastAsiaTheme="minorEastAsia" w:hAnsi="Verdana" w:cs="Tahoma"/>
          <w:bCs/>
          <w:sz w:val="22"/>
          <w:szCs w:val="22"/>
        </w:rPr>
        <w:t>registrate</w:t>
      </w:r>
      <w:r>
        <w:rPr>
          <w:rFonts w:ascii="Verdana" w:eastAsiaTheme="minorEastAsia" w:hAnsi="Verdana" w:cs="Tahoma"/>
          <w:bCs/>
          <w:sz w:val="22"/>
          <w:szCs w:val="22"/>
        </w:rPr>
        <w:t>.</w:t>
      </w:r>
    </w:p>
    <w:p w14:paraId="5900602E" w14:textId="77777777" w:rsidR="00DE70E2" w:rsidRDefault="00DE70E2" w:rsidP="0059471D">
      <w:pPr>
        <w:spacing w:line="360" w:lineRule="auto"/>
        <w:jc w:val="center"/>
        <w:rPr>
          <w:rFonts w:ascii="Garamond" w:hAnsi="Garamond"/>
          <w:b/>
          <w:color w:val="003F7E"/>
        </w:rPr>
      </w:pPr>
    </w:p>
    <w:p w14:paraId="09D035B6" w14:textId="77777777" w:rsidR="0059471D" w:rsidRDefault="0059471D" w:rsidP="0059471D">
      <w:pPr>
        <w:spacing w:line="360" w:lineRule="auto"/>
        <w:jc w:val="center"/>
        <w:rPr>
          <w:rFonts w:ascii="Garamond" w:hAnsi="Garamond"/>
          <w:b/>
          <w:color w:val="003F7E"/>
        </w:rPr>
      </w:pPr>
      <w:r w:rsidRPr="00B5707D">
        <w:rPr>
          <w:rFonts w:ascii="Garamond" w:hAnsi="Garamond"/>
          <w:b/>
          <w:color w:val="003F7E"/>
        </w:rPr>
        <w:t>* * *</w:t>
      </w:r>
    </w:p>
    <w:p w14:paraId="06DC5DEA" w14:textId="682DDFCB" w:rsidR="00792FC4" w:rsidRPr="00792FC4" w:rsidRDefault="0059471D" w:rsidP="00792FC4">
      <w:pPr>
        <w:autoSpaceDE w:val="0"/>
        <w:autoSpaceDN w:val="0"/>
        <w:adjustRightInd w:val="0"/>
        <w:spacing w:line="360" w:lineRule="auto"/>
        <w:jc w:val="both"/>
        <w:rPr>
          <w:rFonts w:ascii="Verdana" w:eastAsiaTheme="minorEastAsia" w:hAnsi="Verdana" w:cs="Tahoma"/>
          <w:bCs/>
          <w:sz w:val="22"/>
          <w:szCs w:val="22"/>
        </w:rPr>
      </w:pPr>
      <w:r w:rsidRPr="00792FC4">
        <w:rPr>
          <w:rFonts w:ascii="Verdana" w:eastAsiaTheme="minorEastAsia" w:hAnsi="Verdana" w:cs="Tahoma"/>
          <w:bCs/>
          <w:sz w:val="22"/>
          <w:szCs w:val="22"/>
        </w:rPr>
        <w:t xml:space="preserve">Nel </w:t>
      </w:r>
      <w:r w:rsidR="00FE7100" w:rsidRPr="00792FC4">
        <w:rPr>
          <w:rFonts w:ascii="Verdana" w:eastAsiaTheme="minorEastAsia" w:hAnsi="Verdana" w:cs="Tahoma"/>
          <w:bCs/>
          <w:sz w:val="22"/>
          <w:szCs w:val="22"/>
        </w:rPr>
        <w:t xml:space="preserve">quarto </w:t>
      </w:r>
      <w:r w:rsidRPr="00792FC4">
        <w:rPr>
          <w:rFonts w:ascii="Verdana" w:eastAsiaTheme="minorEastAsia" w:hAnsi="Verdana" w:cs="Tahoma"/>
          <w:bCs/>
          <w:sz w:val="22"/>
          <w:szCs w:val="22"/>
        </w:rPr>
        <w:t>trimestre 20</w:t>
      </w:r>
      <w:r w:rsidR="00FE7100" w:rsidRPr="00792FC4">
        <w:rPr>
          <w:rFonts w:ascii="Verdana" w:eastAsiaTheme="minorEastAsia" w:hAnsi="Verdana" w:cs="Tahoma"/>
          <w:bCs/>
          <w:sz w:val="22"/>
          <w:szCs w:val="22"/>
        </w:rPr>
        <w:t>2</w:t>
      </w:r>
      <w:r w:rsidR="00792FC4" w:rsidRPr="00792FC4">
        <w:rPr>
          <w:rFonts w:ascii="Verdana" w:eastAsiaTheme="minorEastAsia" w:hAnsi="Verdana" w:cs="Tahoma"/>
          <w:bCs/>
          <w:sz w:val="22"/>
          <w:szCs w:val="22"/>
        </w:rPr>
        <w:t>2 Il clima di fiducia sale a 116,6 e guadagna 33 punti rispetto allo stesso periodo del 2021. Nella media dell’anno 2022 segna un valore pari a 107,6 che risulta essere superiore di 23,6 punti nel confronto con la media dell’anno 2021.</w:t>
      </w:r>
    </w:p>
    <w:p w14:paraId="3F092844" w14:textId="77777777" w:rsidR="00792FC4" w:rsidRPr="00792FC4" w:rsidRDefault="00792FC4" w:rsidP="00792FC4">
      <w:pPr>
        <w:autoSpaceDE w:val="0"/>
        <w:autoSpaceDN w:val="0"/>
        <w:adjustRightInd w:val="0"/>
        <w:spacing w:before="120" w:line="360" w:lineRule="auto"/>
        <w:jc w:val="both"/>
        <w:rPr>
          <w:rFonts w:ascii="Verdana" w:eastAsiaTheme="minorEastAsia" w:hAnsi="Verdana" w:cs="Tahoma"/>
          <w:bCs/>
          <w:sz w:val="22"/>
          <w:szCs w:val="22"/>
        </w:rPr>
      </w:pPr>
      <w:r w:rsidRPr="00792FC4">
        <w:rPr>
          <w:rFonts w:ascii="Verdana" w:eastAsiaTheme="minorEastAsia" w:hAnsi="Verdana" w:cs="Tahoma"/>
          <w:bCs/>
          <w:sz w:val="22"/>
          <w:szCs w:val="22"/>
        </w:rPr>
        <w:t>Le aspettative per il I trimestre 2023 sono caratterizzate da incertezza in particolare riguardo alle performance economiche.</w:t>
      </w:r>
    </w:p>
    <w:p w14:paraId="44162847" w14:textId="65A7ADE3" w:rsidR="0059471D" w:rsidRDefault="0059471D" w:rsidP="0059471D">
      <w:pPr>
        <w:spacing w:line="360" w:lineRule="auto"/>
        <w:jc w:val="both"/>
        <w:rPr>
          <w:rFonts w:ascii="Verdana" w:eastAsiaTheme="minorEastAsia" w:hAnsi="Verdana" w:cs="Tahoma"/>
          <w:bCs/>
          <w:sz w:val="22"/>
        </w:rPr>
      </w:pPr>
    </w:p>
    <w:p w14:paraId="6CC6C038" w14:textId="1FC90D9F" w:rsidR="0046436A" w:rsidRDefault="0046436A" w:rsidP="0059471D">
      <w:pPr>
        <w:spacing w:line="360" w:lineRule="auto"/>
        <w:jc w:val="both"/>
        <w:rPr>
          <w:rFonts w:ascii="Verdana" w:eastAsiaTheme="minorEastAsia" w:hAnsi="Verdana" w:cs="Tahoma"/>
          <w:bCs/>
          <w:sz w:val="22"/>
        </w:rPr>
      </w:pPr>
    </w:p>
    <w:p w14:paraId="7F1C482D" w14:textId="7B09E81F" w:rsidR="0046436A" w:rsidRDefault="0046436A" w:rsidP="0059471D">
      <w:pPr>
        <w:spacing w:line="360" w:lineRule="auto"/>
        <w:jc w:val="both"/>
        <w:rPr>
          <w:rFonts w:ascii="Verdana" w:eastAsiaTheme="minorEastAsia" w:hAnsi="Verdana" w:cs="Tahoma"/>
          <w:bCs/>
          <w:sz w:val="22"/>
        </w:rPr>
      </w:pPr>
    </w:p>
    <w:p w14:paraId="461ADE2E" w14:textId="77777777" w:rsidR="0046436A" w:rsidRDefault="0046436A" w:rsidP="0059471D">
      <w:pPr>
        <w:spacing w:line="360" w:lineRule="auto"/>
        <w:jc w:val="both"/>
        <w:rPr>
          <w:rFonts w:ascii="Verdana" w:eastAsiaTheme="minorEastAsia" w:hAnsi="Verdana" w:cs="Tahoma"/>
          <w:bCs/>
          <w:sz w:val="22"/>
        </w:rPr>
      </w:pPr>
    </w:p>
    <w:p w14:paraId="2114081B" w14:textId="597104FB" w:rsidR="0059471D" w:rsidRPr="00A73503" w:rsidRDefault="0059471D" w:rsidP="0059471D">
      <w:pPr>
        <w:spacing w:line="360" w:lineRule="auto"/>
        <w:jc w:val="center"/>
        <w:rPr>
          <w:rFonts w:ascii="Verdana" w:hAnsi="Verdana"/>
          <w:sz w:val="20"/>
          <w:szCs w:val="18"/>
        </w:rPr>
      </w:pPr>
      <w:r w:rsidRPr="00C76D0A">
        <w:rPr>
          <w:rFonts w:ascii="Arial" w:hAnsi="Arial" w:cs="Arial"/>
          <w:b/>
          <w:bCs/>
          <w:color w:val="003F7E"/>
          <w:sz w:val="20"/>
          <w:szCs w:val="22"/>
        </w:rPr>
        <w:lastRenderedPageBreak/>
        <w:t>Il clima di fiducia</w:t>
      </w:r>
    </w:p>
    <w:p w14:paraId="1887C542" w14:textId="6CC33F5E" w:rsidR="0059471D" w:rsidRDefault="00792FC4" w:rsidP="0059471D">
      <w:pPr>
        <w:pStyle w:val="Nessunaspaziatura"/>
        <w:spacing w:line="360" w:lineRule="auto"/>
        <w:jc w:val="center"/>
        <w:rPr>
          <w:rFonts w:ascii="Verdana" w:hAnsi="Verdana" w:cs="Tahoma"/>
        </w:rPr>
      </w:pPr>
      <w:r>
        <w:rPr>
          <w:noProof/>
        </w:rPr>
        <w:drawing>
          <wp:inline distT="0" distB="0" distL="0" distR="0" wp14:anchorId="1962E6EC" wp14:editId="0241A343">
            <wp:extent cx="5381625" cy="2495550"/>
            <wp:effectExtent l="0" t="0" r="9525" b="0"/>
            <wp:docPr id="13" name="Grafico 1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A73976" w14:textId="77777777" w:rsidR="0059471D" w:rsidRDefault="0059471D" w:rsidP="00FE7100">
      <w:pPr>
        <w:ind w:firstLine="709"/>
        <w:rPr>
          <w:rFonts w:ascii="Arial" w:hAnsi="Arial" w:cs="Arial"/>
          <w:color w:val="003F7E"/>
          <w:sz w:val="16"/>
          <w:szCs w:val="16"/>
        </w:rPr>
      </w:pPr>
      <w:r w:rsidRPr="00C76D0A">
        <w:rPr>
          <w:rFonts w:ascii="Arial" w:hAnsi="Arial" w:cs="Arial"/>
          <w:color w:val="003F7E"/>
          <w:sz w:val="16"/>
          <w:szCs w:val="16"/>
        </w:rPr>
        <w:t>Fonte: osservatorio congiunturale Fipe</w:t>
      </w:r>
    </w:p>
    <w:p w14:paraId="3FECD922" w14:textId="77777777" w:rsidR="0059471D" w:rsidRDefault="0059471D" w:rsidP="0059471D">
      <w:pPr>
        <w:spacing w:line="360" w:lineRule="auto"/>
        <w:jc w:val="center"/>
        <w:rPr>
          <w:rFonts w:ascii="Garamond" w:hAnsi="Garamond"/>
          <w:b/>
          <w:color w:val="003F7E"/>
        </w:rPr>
      </w:pPr>
      <w:r w:rsidRPr="00B5707D">
        <w:rPr>
          <w:rFonts w:ascii="Garamond" w:hAnsi="Garamond"/>
          <w:b/>
          <w:color w:val="003F7E"/>
        </w:rPr>
        <w:t>* * *</w:t>
      </w:r>
    </w:p>
    <w:p w14:paraId="5520758C" w14:textId="4046C4D6" w:rsidR="00792FC4" w:rsidRPr="00792FC4" w:rsidRDefault="00792FC4" w:rsidP="00792FC4">
      <w:pPr>
        <w:spacing w:line="360" w:lineRule="auto"/>
        <w:jc w:val="both"/>
        <w:rPr>
          <w:rFonts w:ascii="Verdana" w:hAnsi="Verdana"/>
          <w:sz w:val="22"/>
          <w:szCs w:val="22"/>
        </w:rPr>
      </w:pPr>
      <w:r w:rsidRPr="00792FC4">
        <w:rPr>
          <w:rFonts w:ascii="Verdana" w:hAnsi="Verdana"/>
          <w:sz w:val="22"/>
          <w:szCs w:val="22"/>
        </w:rPr>
        <w:t>Il valore aggiunto de</w:t>
      </w:r>
      <w:r w:rsidR="003632E7">
        <w:rPr>
          <w:rFonts w:ascii="Verdana" w:hAnsi="Verdana"/>
          <w:sz w:val="22"/>
          <w:szCs w:val="22"/>
        </w:rPr>
        <w:t xml:space="preserve">l settore </w:t>
      </w:r>
      <w:r w:rsidRPr="00792FC4">
        <w:rPr>
          <w:rFonts w:ascii="Verdana" w:hAnsi="Verdana"/>
          <w:sz w:val="22"/>
          <w:szCs w:val="22"/>
        </w:rPr>
        <w:t xml:space="preserve">è stimato nel 2022 in 43,5 miliardi di euro. Prosegue la fase di recupero iniziata nella seconda metà del 2021 con </w:t>
      </w:r>
      <w:r w:rsidR="00AC5A97">
        <w:rPr>
          <w:rFonts w:ascii="Verdana" w:hAnsi="Verdana"/>
          <w:sz w:val="22"/>
          <w:szCs w:val="22"/>
        </w:rPr>
        <w:t>+</w:t>
      </w:r>
      <w:r w:rsidRPr="00792FC4">
        <w:rPr>
          <w:rFonts w:ascii="Verdana" w:hAnsi="Verdana"/>
          <w:sz w:val="22"/>
          <w:szCs w:val="22"/>
        </w:rPr>
        <w:t xml:space="preserve">18 punti percentuali </w:t>
      </w:r>
      <w:r w:rsidR="00AC5A97">
        <w:rPr>
          <w:rFonts w:ascii="Verdana" w:hAnsi="Verdana"/>
          <w:sz w:val="22"/>
          <w:szCs w:val="22"/>
        </w:rPr>
        <w:t>sul</w:t>
      </w:r>
      <w:r w:rsidRPr="00792FC4">
        <w:rPr>
          <w:rFonts w:ascii="Verdana" w:hAnsi="Verdana"/>
          <w:sz w:val="22"/>
          <w:szCs w:val="22"/>
        </w:rPr>
        <w:t xml:space="preserve"> 2021 mentre rispetto al 2019 </w:t>
      </w:r>
      <w:r w:rsidR="00AC5A97">
        <w:rPr>
          <w:rFonts w:ascii="Verdana" w:hAnsi="Verdana"/>
          <w:sz w:val="22"/>
          <w:szCs w:val="22"/>
        </w:rPr>
        <w:t>la metrica</w:t>
      </w:r>
      <w:r w:rsidRPr="00792FC4">
        <w:rPr>
          <w:rFonts w:ascii="Verdana" w:hAnsi="Verdana"/>
          <w:sz w:val="22"/>
          <w:szCs w:val="22"/>
        </w:rPr>
        <w:t xml:space="preserve"> è ancora inferiore di 8 punti percentuali.</w:t>
      </w:r>
    </w:p>
    <w:p w14:paraId="3D95743F" w14:textId="1A708224" w:rsidR="0059471D" w:rsidRDefault="0059471D" w:rsidP="0059471D">
      <w:pPr>
        <w:jc w:val="center"/>
        <w:rPr>
          <w:rFonts w:ascii="Arial" w:hAnsi="Arial" w:cs="Arial"/>
          <w:color w:val="003F7E"/>
          <w:sz w:val="16"/>
          <w:szCs w:val="22"/>
        </w:rPr>
      </w:pPr>
      <w:r w:rsidRPr="00C76D0A">
        <w:rPr>
          <w:rFonts w:ascii="Arial" w:hAnsi="Arial" w:cs="Arial"/>
          <w:b/>
          <w:color w:val="003F7E"/>
          <w:sz w:val="20"/>
          <w:szCs w:val="22"/>
        </w:rPr>
        <w:t xml:space="preserve">Fig. </w:t>
      </w:r>
      <w:r>
        <w:rPr>
          <w:rFonts w:ascii="Arial" w:hAnsi="Arial" w:cs="Arial"/>
          <w:b/>
          <w:color w:val="003F7E"/>
          <w:sz w:val="20"/>
          <w:szCs w:val="22"/>
        </w:rPr>
        <w:t>I</w:t>
      </w:r>
      <w:r w:rsidR="00AC5A97">
        <w:rPr>
          <w:rFonts w:ascii="Arial" w:hAnsi="Arial" w:cs="Arial"/>
          <w:b/>
          <w:color w:val="003F7E"/>
          <w:sz w:val="20"/>
          <w:szCs w:val="22"/>
        </w:rPr>
        <w:t>3</w:t>
      </w:r>
      <w:r w:rsidRPr="00C76D0A">
        <w:rPr>
          <w:rFonts w:ascii="Arial" w:hAnsi="Arial" w:cs="Arial"/>
          <w:b/>
          <w:color w:val="003F7E"/>
          <w:sz w:val="20"/>
          <w:szCs w:val="22"/>
        </w:rPr>
        <w:t xml:space="preserve"> -</w:t>
      </w:r>
      <w:r>
        <w:rPr>
          <w:rFonts w:ascii="Arial" w:hAnsi="Arial" w:cs="Arial"/>
          <w:b/>
          <w:color w:val="003F7E"/>
          <w:sz w:val="20"/>
          <w:szCs w:val="22"/>
        </w:rPr>
        <w:t xml:space="preserve"> </w:t>
      </w:r>
      <w:r w:rsidRPr="00D44656">
        <w:rPr>
          <w:rFonts w:ascii="Arial" w:hAnsi="Arial" w:cs="Arial"/>
          <w:b/>
          <w:bCs/>
          <w:color w:val="003F7E"/>
          <w:sz w:val="20"/>
          <w:szCs w:val="22"/>
        </w:rPr>
        <w:t>La dinamica del valore aggiunto della ristorazione</w:t>
      </w:r>
      <w:r w:rsidR="00792FC4">
        <w:rPr>
          <w:rFonts w:ascii="Arial" w:hAnsi="Arial" w:cs="Arial"/>
          <w:b/>
          <w:bCs/>
          <w:color w:val="003F7E"/>
          <w:sz w:val="20"/>
          <w:szCs w:val="22"/>
        </w:rPr>
        <w:t xml:space="preserve"> </w:t>
      </w:r>
      <w:r w:rsidRPr="00D44656">
        <w:rPr>
          <w:rFonts w:ascii="Arial" w:hAnsi="Arial" w:cs="Arial"/>
          <w:color w:val="003F7E"/>
          <w:sz w:val="16"/>
          <w:szCs w:val="22"/>
        </w:rPr>
        <w:t>(N.I. 2008=100)</w:t>
      </w:r>
    </w:p>
    <w:p w14:paraId="299979E4" w14:textId="77777777" w:rsidR="0059471D" w:rsidRDefault="0059471D" w:rsidP="0059471D">
      <w:pPr>
        <w:jc w:val="center"/>
        <w:rPr>
          <w:rFonts w:ascii="Arial" w:hAnsi="Arial" w:cs="Arial"/>
          <w:color w:val="003F7E"/>
          <w:sz w:val="16"/>
          <w:szCs w:val="22"/>
        </w:rPr>
      </w:pPr>
    </w:p>
    <w:p w14:paraId="7FE5F3F8" w14:textId="78494C17" w:rsidR="0059471D" w:rsidRDefault="00792FC4" w:rsidP="0059471D">
      <w:pPr>
        <w:spacing w:line="360" w:lineRule="auto"/>
        <w:jc w:val="center"/>
        <w:rPr>
          <w:rFonts w:ascii="Arial" w:hAnsi="Arial" w:cs="Arial"/>
          <w:color w:val="003F7E"/>
          <w:sz w:val="16"/>
          <w:szCs w:val="18"/>
        </w:rPr>
      </w:pPr>
      <w:r>
        <w:rPr>
          <w:noProof/>
        </w:rPr>
        <w:drawing>
          <wp:inline distT="0" distB="0" distL="0" distR="0" wp14:anchorId="2EF8F3E2" wp14:editId="761BEE85">
            <wp:extent cx="5567045" cy="2771775"/>
            <wp:effectExtent l="0" t="0" r="14605" b="9525"/>
            <wp:docPr id="21" name="Grafico 21">
              <a:extLst xmlns:a="http://schemas.openxmlformats.org/drawingml/2006/main">
                <a:ext uri="{FF2B5EF4-FFF2-40B4-BE49-F238E27FC236}">
                  <a16:creationId xmlns:a16="http://schemas.microsoft.com/office/drawing/2014/main" id="{D859F6F3-94D5-41D4-B075-132ED13E26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CD709F" w14:textId="77777777" w:rsidR="0059471D" w:rsidRDefault="0059471D" w:rsidP="00FE7100">
      <w:pPr>
        <w:spacing w:line="360" w:lineRule="auto"/>
        <w:ind w:firstLine="709"/>
        <w:jc w:val="both"/>
        <w:rPr>
          <w:rFonts w:ascii="Verdana" w:hAnsi="Verdana"/>
          <w:sz w:val="22"/>
          <w:szCs w:val="22"/>
        </w:rPr>
      </w:pPr>
      <w:r w:rsidRPr="005C3946">
        <w:rPr>
          <w:rFonts w:ascii="Arial" w:hAnsi="Arial" w:cs="Arial"/>
          <w:color w:val="003F7E"/>
          <w:sz w:val="16"/>
          <w:szCs w:val="16"/>
        </w:rPr>
        <w:t>Fonte: stima Fipe su dati di contabilità nazionale</w:t>
      </w:r>
      <w:r w:rsidRPr="00BE4C53">
        <w:rPr>
          <w:rFonts w:ascii="Verdana" w:hAnsi="Verdana"/>
          <w:sz w:val="22"/>
          <w:szCs w:val="22"/>
        </w:rPr>
        <w:t xml:space="preserve"> </w:t>
      </w:r>
    </w:p>
    <w:p w14:paraId="5D9FD0B9" w14:textId="77777777" w:rsidR="0059471D" w:rsidRDefault="0059471D" w:rsidP="0059471D">
      <w:pPr>
        <w:spacing w:line="360" w:lineRule="auto"/>
        <w:jc w:val="center"/>
        <w:rPr>
          <w:rFonts w:ascii="Garamond" w:hAnsi="Garamond"/>
          <w:b/>
          <w:color w:val="003F7E"/>
        </w:rPr>
      </w:pPr>
      <w:r w:rsidRPr="00B5707D">
        <w:rPr>
          <w:rFonts w:ascii="Garamond" w:hAnsi="Garamond"/>
          <w:b/>
          <w:color w:val="003F7E"/>
        </w:rPr>
        <w:t>* * *</w:t>
      </w:r>
    </w:p>
    <w:p w14:paraId="6901FF7C" w14:textId="41F3565F" w:rsidR="00C639AD" w:rsidRDefault="00792FC4" w:rsidP="00C639AD">
      <w:pPr>
        <w:spacing w:line="360" w:lineRule="auto"/>
        <w:jc w:val="both"/>
        <w:rPr>
          <w:rFonts w:ascii="Verdana" w:hAnsi="Verdana"/>
          <w:sz w:val="22"/>
          <w:szCs w:val="22"/>
        </w:rPr>
      </w:pPr>
      <w:r w:rsidRPr="00792FC4">
        <w:rPr>
          <w:rFonts w:ascii="Verdana" w:hAnsi="Verdana"/>
          <w:sz w:val="22"/>
          <w:szCs w:val="22"/>
        </w:rPr>
        <w:t xml:space="preserve">L’input di lavoro, misurato in unità di lavoro standard, conta nel 2022 poco più di un milione di unità, nel 2019 erano oltre un milione e centonovantamila unità. </w:t>
      </w:r>
      <w:r w:rsidR="00C639AD">
        <w:rPr>
          <w:rFonts w:ascii="Verdana" w:hAnsi="Verdana"/>
          <w:sz w:val="22"/>
          <w:szCs w:val="22"/>
        </w:rPr>
        <w:t xml:space="preserve">In </w:t>
      </w:r>
      <w:r w:rsidR="003632E7">
        <w:rPr>
          <w:rFonts w:ascii="Verdana" w:hAnsi="Verdana"/>
          <w:sz w:val="22"/>
          <w:szCs w:val="22"/>
        </w:rPr>
        <w:t xml:space="preserve">significativa </w:t>
      </w:r>
      <w:r w:rsidR="00C639AD">
        <w:rPr>
          <w:rFonts w:ascii="Verdana" w:hAnsi="Verdana"/>
          <w:sz w:val="22"/>
          <w:szCs w:val="22"/>
        </w:rPr>
        <w:t>ripresa l’occupazione dipendente:</w:t>
      </w:r>
      <w:r w:rsidR="00C639AD" w:rsidRPr="00C639AD">
        <w:rPr>
          <w:rFonts w:ascii="Verdana" w:hAnsi="Verdana"/>
          <w:sz w:val="22"/>
          <w:szCs w:val="22"/>
        </w:rPr>
        <w:t xml:space="preserve"> le oltre 165mila aziende del settore con almeno un dipendente hanno impiegato, </w:t>
      </w:r>
      <w:r w:rsidR="00C639AD">
        <w:rPr>
          <w:rFonts w:ascii="Verdana" w:hAnsi="Verdana"/>
          <w:sz w:val="22"/>
          <w:szCs w:val="22"/>
        </w:rPr>
        <w:t>nella media del</w:t>
      </w:r>
      <w:r w:rsidR="003632E7">
        <w:rPr>
          <w:rFonts w:ascii="Verdana" w:hAnsi="Verdana"/>
          <w:sz w:val="22"/>
          <w:szCs w:val="22"/>
        </w:rPr>
        <w:t>l’anno</w:t>
      </w:r>
      <w:r w:rsidR="00C639AD" w:rsidRPr="00C639AD">
        <w:rPr>
          <w:rFonts w:ascii="Verdana" w:hAnsi="Verdana"/>
          <w:sz w:val="22"/>
          <w:szCs w:val="22"/>
        </w:rPr>
        <w:t>, 987.052 lavoratori. I valori tornano</w:t>
      </w:r>
      <w:r w:rsidR="003632E7">
        <w:rPr>
          <w:rFonts w:ascii="Verdana" w:hAnsi="Verdana"/>
          <w:sz w:val="22"/>
          <w:szCs w:val="22"/>
        </w:rPr>
        <w:t>, dunque,</w:t>
      </w:r>
      <w:r w:rsidR="00C639AD" w:rsidRPr="00C639AD">
        <w:rPr>
          <w:rFonts w:ascii="Verdana" w:hAnsi="Verdana"/>
          <w:sz w:val="22"/>
          <w:szCs w:val="22"/>
        </w:rPr>
        <w:t xml:space="preserve"> sui livelli </w:t>
      </w:r>
      <w:proofErr w:type="spellStart"/>
      <w:r w:rsidR="00C639AD" w:rsidRPr="00C639AD">
        <w:rPr>
          <w:rFonts w:ascii="Verdana" w:hAnsi="Verdana"/>
          <w:sz w:val="22"/>
          <w:szCs w:val="22"/>
        </w:rPr>
        <w:t>pre</w:t>
      </w:r>
      <w:proofErr w:type="spellEnd"/>
      <w:r w:rsidR="00C639AD" w:rsidRPr="00C639AD">
        <w:rPr>
          <w:rFonts w:ascii="Verdana" w:hAnsi="Verdana"/>
          <w:sz w:val="22"/>
          <w:szCs w:val="22"/>
        </w:rPr>
        <w:t xml:space="preserve">-pandemia </w:t>
      </w:r>
      <w:r w:rsidR="00C639AD">
        <w:rPr>
          <w:rFonts w:ascii="Verdana" w:hAnsi="Verdana"/>
          <w:sz w:val="22"/>
          <w:szCs w:val="22"/>
        </w:rPr>
        <w:t xml:space="preserve">da cui sono separati da appena </w:t>
      </w:r>
      <w:r w:rsidR="00C639AD" w:rsidRPr="00C639AD">
        <w:rPr>
          <w:rFonts w:ascii="Verdana" w:hAnsi="Verdana"/>
          <w:sz w:val="22"/>
          <w:szCs w:val="22"/>
        </w:rPr>
        <w:t xml:space="preserve">3.700 </w:t>
      </w:r>
      <w:r w:rsidR="00C639AD">
        <w:rPr>
          <w:rFonts w:ascii="Verdana" w:hAnsi="Verdana"/>
          <w:sz w:val="22"/>
          <w:szCs w:val="22"/>
        </w:rPr>
        <w:t>unità</w:t>
      </w:r>
      <w:r w:rsidR="00C639AD" w:rsidRPr="00C639AD">
        <w:rPr>
          <w:rFonts w:ascii="Verdana" w:hAnsi="Verdana"/>
          <w:sz w:val="22"/>
          <w:szCs w:val="22"/>
        </w:rPr>
        <w:t>.</w:t>
      </w:r>
    </w:p>
    <w:p w14:paraId="038B6CF3" w14:textId="0CB32DD6" w:rsidR="00C639AD" w:rsidRDefault="00C639AD" w:rsidP="00E70684">
      <w:pPr>
        <w:spacing w:line="360" w:lineRule="auto"/>
        <w:jc w:val="both"/>
        <w:rPr>
          <w:rFonts w:ascii="Verdana" w:hAnsi="Verdana"/>
          <w:sz w:val="22"/>
          <w:szCs w:val="22"/>
        </w:rPr>
      </w:pPr>
    </w:p>
    <w:p w14:paraId="1E409E2B" w14:textId="5FD8F68F" w:rsidR="00C639AD" w:rsidRPr="007F1D86" w:rsidRDefault="00C639AD" w:rsidP="00C639AD">
      <w:pPr>
        <w:rPr>
          <w:rFonts w:ascii="Arial" w:hAnsi="Arial" w:cs="Arial"/>
          <w:color w:val="003F7E"/>
          <w:sz w:val="16"/>
          <w:szCs w:val="18"/>
        </w:rPr>
      </w:pPr>
      <w:r w:rsidRPr="007F1D86">
        <w:rPr>
          <w:rFonts w:ascii="Arial" w:hAnsi="Arial" w:cs="Arial"/>
          <w:b/>
          <w:color w:val="003F7E"/>
          <w:sz w:val="20"/>
          <w:szCs w:val="18"/>
        </w:rPr>
        <w:t>Pubblici esercizi - Lavoratori dipendenti per comparto</w:t>
      </w:r>
      <w:r>
        <w:rPr>
          <w:rFonts w:ascii="Arial" w:hAnsi="Arial" w:cs="Arial"/>
          <w:b/>
          <w:sz w:val="18"/>
          <w:szCs w:val="18"/>
        </w:rPr>
        <w:t xml:space="preserve"> </w:t>
      </w:r>
      <w:r w:rsidRPr="007F1D86">
        <w:rPr>
          <w:rFonts w:ascii="Arial" w:hAnsi="Arial" w:cs="Arial"/>
          <w:color w:val="003F7E"/>
          <w:sz w:val="16"/>
          <w:szCs w:val="18"/>
        </w:rPr>
        <w:t>(anno 20</w:t>
      </w:r>
      <w:r>
        <w:rPr>
          <w:rFonts w:ascii="Arial" w:hAnsi="Arial" w:cs="Arial"/>
          <w:color w:val="003F7E"/>
          <w:sz w:val="16"/>
          <w:szCs w:val="18"/>
        </w:rPr>
        <w:t>22</w:t>
      </w:r>
      <w:r w:rsidRPr="007F1D86">
        <w:rPr>
          <w:rFonts w:ascii="Arial" w:hAnsi="Arial" w:cs="Arial"/>
          <w:color w:val="003F7E"/>
          <w:sz w:val="16"/>
          <w:szCs w:val="18"/>
        </w:rPr>
        <w:t>)</w:t>
      </w:r>
    </w:p>
    <w:tbl>
      <w:tblPr>
        <w:tblStyle w:val="Tabellagriglia5scura-colore5"/>
        <w:tblW w:w="5000" w:type="pct"/>
        <w:tblLook w:val="0660" w:firstRow="1" w:lastRow="1" w:firstColumn="0" w:lastColumn="0" w:noHBand="1" w:noVBand="1"/>
      </w:tblPr>
      <w:tblGrid>
        <w:gridCol w:w="2729"/>
        <w:gridCol w:w="2299"/>
        <w:gridCol w:w="2300"/>
        <w:gridCol w:w="2300"/>
      </w:tblGrid>
      <w:tr w:rsidR="00C639AD" w:rsidRPr="00B07801" w14:paraId="740805D3" w14:textId="77777777" w:rsidTr="00A24EA4">
        <w:trPr>
          <w:cnfStyle w:val="100000000000" w:firstRow="1" w:lastRow="0" w:firstColumn="0" w:lastColumn="0" w:oddVBand="0" w:evenVBand="0" w:oddHBand="0" w:evenHBand="0" w:firstRowFirstColumn="0" w:firstRowLastColumn="0" w:lastRowFirstColumn="0" w:lastRowLastColumn="0"/>
          <w:trHeight w:val="600"/>
        </w:trPr>
        <w:tc>
          <w:tcPr>
            <w:tcW w:w="1364" w:type="pct"/>
            <w:noWrap/>
            <w:vAlign w:val="center"/>
            <w:hideMark/>
          </w:tcPr>
          <w:p w14:paraId="3000875A" w14:textId="77777777" w:rsidR="00C639AD" w:rsidRPr="00B07801" w:rsidRDefault="00C639AD" w:rsidP="00A24EA4">
            <w:pPr>
              <w:jc w:val="center"/>
              <w:rPr>
                <w:rFonts w:cstheme="minorHAnsi"/>
                <w:color w:val="000000"/>
              </w:rPr>
            </w:pPr>
          </w:p>
        </w:tc>
        <w:tc>
          <w:tcPr>
            <w:tcW w:w="1212" w:type="pct"/>
            <w:noWrap/>
            <w:vAlign w:val="center"/>
            <w:hideMark/>
          </w:tcPr>
          <w:p w14:paraId="1F555639" w14:textId="77777777" w:rsidR="00C639AD" w:rsidRPr="00B07801" w:rsidRDefault="00C639AD" w:rsidP="00A24EA4">
            <w:pPr>
              <w:jc w:val="center"/>
              <w:rPr>
                <w:rFonts w:cstheme="minorHAnsi"/>
                <w:color w:val="000000"/>
              </w:rPr>
            </w:pPr>
            <w:r w:rsidRPr="00B07801">
              <w:rPr>
                <w:rFonts w:cstheme="minorHAnsi"/>
              </w:rPr>
              <w:t>val. assoluti</w:t>
            </w:r>
          </w:p>
        </w:tc>
        <w:tc>
          <w:tcPr>
            <w:tcW w:w="1212" w:type="pct"/>
            <w:vAlign w:val="center"/>
            <w:hideMark/>
          </w:tcPr>
          <w:p w14:paraId="27D989F9" w14:textId="77777777" w:rsidR="00C639AD" w:rsidRPr="00B07801" w:rsidRDefault="00C639AD" w:rsidP="00A24EA4">
            <w:pPr>
              <w:jc w:val="center"/>
              <w:rPr>
                <w:rFonts w:cstheme="minorHAnsi"/>
                <w:color w:val="000000"/>
              </w:rPr>
            </w:pPr>
            <w:r w:rsidRPr="00B07801">
              <w:rPr>
                <w:rFonts w:cstheme="minorHAnsi"/>
              </w:rPr>
              <w:t>val. %</w:t>
            </w:r>
          </w:p>
        </w:tc>
        <w:tc>
          <w:tcPr>
            <w:tcW w:w="1212" w:type="pct"/>
            <w:noWrap/>
            <w:vAlign w:val="center"/>
            <w:hideMark/>
          </w:tcPr>
          <w:p w14:paraId="5F8ED0F3" w14:textId="77777777" w:rsidR="00C639AD" w:rsidRPr="00B07801" w:rsidRDefault="00C639AD" w:rsidP="00A24EA4">
            <w:pPr>
              <w:jc w:val="center"/>
              <w:rPr>
                <w:rFonts w:eastAsia="Calibri" w:cstheme="minorHAnsi"/>
                <w:b w:val="0"/>
                <w:bCs w:val="0"/>
              </w:rPr>
            </w:pPr>
            <w:r w:rsidRPr="00B07801">
              <w:rPr>
                <w:rFonts w:eastAsia="Calibri" w:cstheme="minorHAnsi"/>
              </w:rPr>
              <w:t>n. dipendenti</w:t>
            </w:r>
          </w:p>
          <w:p w14:paraId="04F2DCAA" w14:textId="77777777" w:rsidR="00C639AD" w:rsidRPr="00B07801" w:rsidRDefault="00C639AD" w:rsidP="00A24EA4">
            <w:pPr>
              <w:jc w:val="center"/>
              <w:rPr>
                <w:rFonts w:cstheme="minorHAnsi"/>
                <w:color w:val="000000"/>
              </w:rPr>
            </w:pPr>
            <w:r w:rsidRPr="00B07801">
              <w:rPr>
                <w:rFonts w:eastAsia="Calibri" w:cstheme="minorHAnsi"/>
              </w:rPr>
              <w:t>per azienda</w:t>
            </w:r>
          </w:p>
        </w:tc>
      </w:tr>
      <w:tr w:rsidR="00C639AD" w:rsidRPr="00B07801" w14:paraId="50486AE0" w14:textId="77777777" w:rsidTr="00A24EA4">
        <w:trPr>
          <w:trHeight w:val="300"/>
        </w:trPr>
        <w:tc>
          <w:tcPr>
            <w:tcW w:w="1364" w:type="pct"/>
            <w:shd w:val="clear" w:color="auto" w:fill="EDEDED" w:themeFill="accent3" w:themeFillTint="33"/>
            <w:noWrap/>
            <w:hideMark/>
          </w:tcPr>
          <w:p w14:paraId="72D465F6" w14:textId="77777777" w:rsidR="00C639AD" w:rsidRPr="00B07801" w:rsidRDefault="00C639AD" w:rsidP="00A24EA4">
            <w:pPr>
              <w:rPr>
                <w:rFonts w:cstheme="minorHAnsi"/>
                <w:color w:val="000000"/>
              </w:rPr>
            </w:pPr>
            <w:r w:rsidRPr="00B07801">
              <w:rPr>
                <w:rFonts w:cstheme="minorHAnsi"/>
                <w:color w:val="000000"/>
              </w:rPr>
              <w:t>bar</w:t>
            </w:r>
          </w:p>
        </w:tc>
        <w:tc>
          <w:tcPr>
            <w:tcW w:w="1212" w:type="pct"/>
            <w:shd w:val="clear" w:color="auto" w:fill="EDEDED" w:themeFill="accent3" w:themeFillTint="33"/>
            <w:noWrap/>
            <w:vAlign w:val="bottom"/>
            <w:hideMark/>
          </w:tcPr>
          <w:p w14:paraId="59588760" w14:textId="77777777" w:rsidR="00C639AD" w:rsidRPr="00B07801" w:rsidRDefault="00C639AD" w:rsidP="00A24EA4">
            <w:pPr>
              <w:jc w:val="right"/>
              <w:rPr>
                <w:rFonts w:cstheme="minorHAnsi"/>
                <w:color w:val="000000"/>
              </w:rPr>
            </w:pPr>
            <w:r>
              <w:rPr>
                <w:rFonts w:ascii="Calibri" w:hAnsi="Calibri" w:cs="Calibri"/>
                <w:color w:val="000000"/>
              </w:rPr>
              <w:t xml:space="preserve">        256.962 </w:t>
            </w:r>
          </w:p>
        </w:tc>
        <w:tc>
          <w:tcPr>
            <w:tcW w:w="1212" w:type="pct"/>
            <w:shd w:val="clear" w:color="auto" w:fill="EDEDED" w:themeFill="accent3" w:themeFillTint="33"/>
            <w:noWrap/>
            <w:vAlign w:val="bottom"/>
            <w:hideMark/>
          </w:tcPr>
          <w:p w14:paraId="344E5534" w14:textId="77777777" w:rsidR="00C639AD" w:rsidRPr="00B07801" w:rsidRDefault="00C639AD" w:rsidP="00A24EA4">
            <w:pPr>
              <w:jc w:val="right"/>
              <w:rPr>
                <w:rFonts w:cstheme="minorHAnsi"/>
                <w:color w:val="000000"/>
              </w:rPr>
            </w:pPr>
            <w:r>
              <w:rPr>
                <w:rFonts w:ascii="Calibri" w:hAnsi="Calibri" w:cs="Calibri"/>
                <w:color w:val="000000"/>
              </w:rPr>
              <w:t xml:space="preserve">         26,0 </w:t>
            </w:r>
          </w:p>
        </w:tc>
        <w:tc>
          <w:tcPr>
            <w:tcW w:w="1212" w:type="pct"/>
            <w:shd w:val="clear" w:color="auto" w:fill="EDEDED" w:themeFill="accent3" w:themeFillTint="33"/>
            <w:noWrap/>
            <w:vAlign w:val="bottom"/>
          </w:tcPr>
          <w:p w14:paraId="3C2771E0" w14:textId="77777777" w:rsidR="00C639AD" w:rsidRPr="00B07801" w:rsidRDefault="00C639AD" w:rsidP="00A24EA4">
            <w:pPr>
              <w:jc w:val="right"/>
              <w:rPr>
                <w:rFonts w:cstheme="minorHAnsi"/>
                <w:color w:val="000000"/>
              </w:rPr>
            </w:pPr>
            <w:r>
              <w:rPr>
                <w:rFonts w:ascii="Calibri" w:hAnsi="Calibri" w:cs="Calibri"/>
                <w:color w:val="000000"/>
              </w:rPr>
              <w:t xml:space="preserve">           3,9 </w:t>
            </w:r>
          </w:p>
        </w:tc>
      </w:tr>
      <w:tr w:rsidR="00C639AD" w:rsidRPr="00B07801" w14:paraId="3E08DE51" w14:textId="77777777" w:rsidTr="00A24EA4">
        <w:trPr>
          <w:trHeight w:val="300"/>
        </w:trPr>
        <w:tc>
          <w:tcPr>
            <w:tcW w:w="1364" w:type="pct"/>
            <w:shd w:val="clear" w:color="auto" w:fill="EDEDED" w:themeFill="accent3" w:themeFillTint="33"/>
            <w:noWrap/>
            <w:hideMark/>
          </w:tcPr>
          <w:p w14:paraId="0538FEAD" w14:textId="77777777" w:rsidR="00C639AD" w:rsidRPr="00B07801" w:rsidRDefault="00C639AD" w:rsidP="00A24EA4">
            <w:pPr>
              <w:rPr>
                <w:rFonts w:cstheme="minorHAnsi"/>
                <w:color w:val="000000"/>
              </w:rPr>
            </w:pPr>
            <w:r w:rsidRPr="00B07801">
              <w:rPr>
                <w:rFonts w:cstheme="minorHAnsi"/>
                <w:color w:val="000000"/>
              </w:rPr>
              <w:t>discoteche</w:t>
            </w:r>
          </w:p>
        </w:tc>
        <w:tc>
          <w:tcPr>
            <w:tcW w:w="1212" w:type="pct"/>
            <w:shd w:val="clear" w:color="auto" w:fill="EDEDED" w:themeFill="accent3" w:themeFillTint="33"/>
            <w:noWrap/>
            <w:vAlign w:val="bottom"/>
            <w:hideMark/>
          </w:tcPr>
          <w:p w14:paraId="768EEA84" w14:textId="77777777" w:rsidR="00C639AD" w:rsidRPr="00B07801" w:rsidRDefault="00C639AD" w:rsidP="00A24EA4">
            <w:pPr>
              <w:jc w:val="right"/>
              <w:rPr>
                <w:rFonts w:cstheme="minorHAnsi"/>
                <w:color w:val="000000"/>
              </w:rPr>
            </w:pPr>
            <w:r>
              <w:rPr>
                <w:rFonts w:ascii="Calibri" w:hAnsi="Calibri" w:cs="Calibri"/>
                <w:color w:val="000000"/>
              </w:rPr>
              <w:t xml:space="preserve">             3.770 </w:t>
            </w:r>
          </w:p>
        </w:tc>
        <w:tc>
          <w:tcPr>
            <w:tcW w:w="1212" w:type="pct"/>
            <w:shd w:val="clear" w:color="auto" w:fill="EDEDED" w:themeFill="accent3" w:themeFillTint="33"/>
            <w:noWrap/>
            <w:vAlign w:val="bottom"/>
            <w:hideMark/>
          </w:tcPr>
          <w:p w14:paraId="63C7C895" w14:textId="77777777" w:rsidR="00C639AD" w:rsidRPr="00B07801" w:rsidRDefault="00C639AD" w:rsidP="00A24EA4">
            <w:pPr>
              <w:jc w:val="right"/>
              <w:rPr>
                <w:rFonts w:cstheme="minorHAnsi"/>
                <w:color w:val="000000"/>
              </w:rPr>
            </w:pPr>
            <w:r>
              <w:rPr>
                <w:rFonts w:ascii="Calibri" w:hAnsi="Calibri" w:cs="Calibri"/>
                <w:color w:val="000000"/>
              </w:rPr>
              <w:t xml:space="preserve">           0,4 </w:t>
            </w:r>
          </w:p>
        </w:tc>
        <w:tc>
          <w:tcPr>
            <w:tcW w:w="1212" w:type="pct"/>
            <w:shd w:val="clear" w:color="auto" w:fill="EDEDED" w:themeFill="accent3" w:themeFillTint="33"/>
            <w:noWrap/>
            <w:vAlign w:val="bottom"/>
          </w:tcPr>
          <w:p w14:paraId="0266D513" w14:textId="77777777" w:rsidR="00C639AD" w:rsidRPr="00B07801" w:rsidRDefault="00C639AD" w:rsidP="00A24EA4">
            <w:pPr>
              <w:jc w:val="right"/>
              <w:rPr>
                <w:rFonts w:cstheme="minorHAnsi"/>
                <w:color w:val="000000"/>
              </w:rPr>
            </w:pPr>
            <w:r>
              <w:rPr>
                <w:rFonts w:ascii="Calibri" w:hAnsi="Calibri" w:cs="Calibri"/>
                <w:color w:val="000000"/>
              </w:rPr>
              <w:t xml:space="preserve">           9,7 </w:t>
            </w:r>
          </w:p>
        </w:tc>
      </w:tr>
      <w:tr w:rsidR="00C639AD" w:rsidRPr="00B07801" w14:paraId="5D6103C0" w14:textId="77777777" w:rsidTr="00A24EA4">
        <w:trPr>
          <w:trHeight w:val="300"/>
        </w:trPr>
        <w:tc>
          <w:tcPr>
            <w:tcW w:w="1364" w:type="pct"/>
            <w:shd w:val="clear" w:color="auto" w:fill="EDEDED" w:themeFill="accent3" w:themeFillTint="33"/>
            <w:noWrap/>
            <w:hideMark/>
          </w:tcPr>
          <w:p w14:paraId="7545ADE7" w14:textId="77777777" w:rsidR="00C639AD" w:rsidRPr="00B07801" w:rsidRDefault="00C639AD" w:rsidP="00A24EA4">
            <w:pPr>
              <w:rPr>
                <w:rFonts w:cstheme="minorHAnsi"/>
                <w:color w:val="000000"/>
              </w:rPr>
            </w:pPr>
            <w:r w:rsidRPr="00B07801">
              <w:rPr>
                <w:rFonts w:cstheme="minorHAnsi"/>
                <w:color w:val="000000"/>
              </w:rPr>
              <w:t>mense e catering</w:t>
            </w:r>
          </w:p>
        </w:tc>
        <w:tc>
          <w:tcPr>
            <w:tcW w:w="1212" w:type="pct"/>
            <w:shd w:val="clear" w:color="auto" w:fill="EDEDED" w:themeFill="accent3" w:themeFillTint="33"/>
            <w:noWrap/>
            <w:vAlign w:val="bottom"/>
            <w:hideMark/>
          </w:tcPr>
          <w:p w14:paraId="0D2D7E04" w14:textId="77777777" w:rsidR="00C639AD" w:rsidRPr="00B07801" w:rsidRDefault="00C639AD" w:rsidP="00A24EA4">
            <w:pPr>
              <w:jc w:val="right"/>
              <w:rPr>
                <w:rFonts w:cstheme="minorHAnsi"/>
                <w:color w:val="000000"/>
              </w:rPr>
            </w:pPr>
            <w:r>
              <w:rPr>
                <w:rFonts w:ascii="Calibri" w:hAnsi="Calibri" w:cs="Calibri"/>
                <w:color w:val="000000"/>
              </w:rPr>
              <w:t xml:space="preserve">           66.194 </w:t>
            </w:r>
          </w:p>
        </w:tc>
        <w:tc>
          <w:tcPr>
            <w:tcW w:w="1212" w:type="pct"/>
            <w:shd w:val="clear" w:color="auto" w:fill="EDEDED" w:themeFill="accent3" w:themeFillTint="33"/>
            <w:noWrap/>
            <w:vAlign w:val="bottom"/>
            <w:hideMark/>
          </w:tcPr>
          <w:p w14:paraId="2548261D" w14:textId="77777777" w:rsidR="00C639AD" w:rsidRPr="00B07801" w:rsidRDefault="00C639AD" w:rsidP="00A24EA4">
            <w:pPr>
              <w:jc w:val="right"/>
              <w:rPr>
                <w:rFonts w:cstheme="minorHAnsi"/>
                <w:color w:val="000000"/>
              </w:rPr>
            </w:pPr>
            <w:r>
              <w:rPr>
                <w:rFonts w:ascii="Calibri" w:hAnsi="Calibri" w:cs="Calibri"/>
                <w:color w:val="000000"/>
              </w:rPr>
              <w:t xml:space="preserve">           6,7 </w:t>
            </w:r>
          </w:p>
        </w:tc>
        <w:tc>
          <w:tcPr>
            <w:tcW w:w="1212" w:type="pct"/>
            <w:shd w:val="clear" w:color="auto" w:fill="EDEDED" w:themeFill="accent3" w:themeFillTint="33"/>
            <w:noWrap/>
            <w:vAlign w:val="bottom"/>
          </w:tcPr>
          <w:p w14:paraId="5BEAE506" w14:textId="77777777" w:rsidR="00C639AD" w:rsidRPr="00B07801" w:rsidRDefault="00C639AD" w:rsidP="00A24EA4">
            <w:pPr>
              <w:jc w:val="right"/>
              <w:rPr>
                <w:rFonts w:cstheme="minorHAnsi"/>
                <w:color w:val="000000"/>
              </w:rPr>
            </w:pPr>
            <w:r>
              <w:rPr>
                <w:rFonts w:ascii="Calibri" w:hAnsi="Calibri" w:cs="Calibri"/>
                <w:color w:val="000000"/>
              </w:rPr>
              <w:t xml:space="preserve">         68,8 </w:t>
            </w:r>
          </w:p>
        </w:tc>
      </w:tr>
      <w:tr w:rsidR="00C639AD" w:rsidRPr="00B07801" w14:paraId="39A48323" w14:textId="77777777" w:rsidTr="00A24EA4">
        <w:trPr>
          <w:trHeight w:val="300"/>
        </w:trPr>
        <w:tc>
          <w:tcPr>
            <w:tcW w:w="1364" w:type="pct"/>
            <w:shd w:val="clear" w:color="auto" w:fill="EDEDED" w:themeFill="accent3" w:themeFillTint="33"/>
            <w:noWrap/>
            <w:hideMark/>
          </w:tcPr>
          <w:p w14:paraId="6DD9BE28" w14:textId="77777777" w:rsidR="00C639AD" w:rsidRPr="00B07801" w:rsidRDefault="00C639AD" w:rsidP="00A24EA4">
            <w:pPr>
              <w:rPr>
                <w:rFonts w:cstheme="minorHAnsi"/>
                <w:color w:val="000000"/>
              </w:rPr>
            </w:pPr>
            <w:r w:rsidRPr="00B07801">
              <w:rPr>
                <w:rFonts w:cstheme="minorHAnsi"/>
                <w:color w:val="000000"/>
              </w:rPr>
              <w:t>fornitura di pasti preparati</w:t>
            </w:r>
          </w:p>
        </w:tc>
        <w:tc>
          <w:tcPr>
            <w:tcW w:w="1212" w:type="pct"/>
            <w:shd w:val="clear" w:color="auto" w:fill="EDEDED" w:themeFill="accent3" w:themeFillTint="33"/>
            <w:noWrap/>
            <w:vAlign w:val="bottom"/>
            <w:hideMark/>
          </w:tcPr>
          <w:p w14:paraId="5560E377" w14:textId="77777777" w:rsidR="00C639AD" w:rsidRPr="00B07801" w:rsidRDefault="00C639AD" w:rsidP="00A24EA4">
            <w:pPr>
              <w:jc w:val="right"/>
              <w:rPr>
                <w:rFonts w:cstheme="minorHAnsi"/>
                <w:color w:val="000000"/>
              </w:rPr>
            </w:pPr>
            <w:r>
              <w:rPr>
                <w:rFonts w:ascii="Calibri" w:hAnsi="Calibri" w:cs="Calibri"/>
                <w:color w:val="000000"/>
              </w:rPr>
              <w:t xml:space="preserve">           71.294 </w:t>
            </w:r>
          </w:p>
        </w:tc>
        <w:tc>
          <w:tcPr>
            <w:tcW w:w="1212" w:type="pct"/>
            <w:shd w:val="clear" w:color="auto" w:fill="EDEDED" w:themeFill="accent3" w:themeFillTint="33"/>
            <w:noWrap/>
            <w:vAlign w:val="bottom"/>
            <w:hideMark/>
          </w:tcPr>
          <w:p w14:paraId="01032B78" w14:textId="77777777" w:rsidR="00C639AD" w:rsidRPr="00B07801" w:rsidRDefault="00C639AD" w:rsidP="00A24EA4">
            <w:pPr>
              <w:jc w:val="right"/>
              <w:rPr>
                <w:rFonts w:cstheme="minorHAnsi"/>
                <w:color w:val="000000"/>
              </w:rPr>
            </w:pPr>
            <w:r>
              <w:rPr>
                <w:rFonts w:ascii="Calibri" w:hAnsi="Calibri" w:cs="Calibri"/>
                <w:color w:val="000000"/>
              </w:rPr>
              <w:t xml:space="preserve">           7,2 </w:t>
            </w:r>
          </w:p>
        </w:tc>
        <w:tc>
          <w:tcPr>
            <w:tcW w:w="1212" w:type="pct"/>
            <w:shd w:val="clear" w:color="auto" w:fill="EDEDED" w:themeFill="accent3" w:themeFillTint="33"/>
            <w:noWrap/>
            <w:vAlign w:val="bottom"/>
          </w:tcPr>
          <w:p w14:paraId="71A748E6" w14:textId="77777777" w:rsidR="00C639AD" w:rsidRPr="00B07801" w:rsidRDefault="00C639AD" w:rsidP="00A24EA4">
            <w:pPr>
              <w:jc w:val="right"/>
              <w:rPr>
                <w:rFonts w:cstheme="minorHAnsi"/>
                <w:color w:val="000000"/>
              </w:rPr>
            </w:pPr>
            <w:r>
              <w:rPr>
                <w:rFonts w:ascii="Calibri" w:hAnsi="Calibri" w:cs="Calibri"/>
                <w:color w:val="000000"/>
              </w:rPr>
              <w:t xml:space="preserve">           5,6 </w:t>
            </w:r>
          </w:p>
        </w:tc>
      </w:tr>
      <w:tr w:rsidR="00C639AD" w:rsidRPr="00B07801" w14:paraId="4F49B752" w14:textId="77777777" w:rsidTr="00A24EA4">
        <w:trPr>
          <w:trHeight w:val="300"/>
        </w:trPr>
        <w:tc>
          <w:tcPr>
            <w:tcW w:w="1364" w:type="pct"/>
            <w:shd w:val="clear" w:color="auto" w:fill="EDEDED" w:themeFill="accent3" w:themeFillTint="33"/>
            <w:noWrap/>
            <w:hideMark/>
          </w:tcPr>
          <w:p w14:paraId="7747A429" w14:textId="77777777" w:rsidR="00C639AD" w:rsidRPr="00B07801" w:rsidRDefault="00C639AD" w:rsidP="00A24EA4">
            <w:pPr>
              <w:rPr>
                <w:rFonts w:cstheme="minorHAnsi"/>
                <w:color w:val="000000"/>
              </w:rPr>
            </w:pPr>
            <w:r w:rsidRPr="00B07801">
              <w:rPr>
                <w:rFonts w:cstheme="minorHAnsi"/>
                <w:color w:val="000000"/>
              </w:rPr>
              <w:t>ristoranti</w:t>
            </w:r>
          </w:p>
        </w:tc>
        <w:tc>
          <w:tcPr>
            <w:tcW w:w="1212" w:type="pct"/>
            <w:shd w:val="clear" w:color="auto" w:fill="EDEDED" w:themeFill="accent3" w:themeFillTint="33"/>
            <w:noWrap/>
            <w:vAlign w:val="bottom"/>
            <w:hideMark/>
          </w:tcPr>
          <w:p w14:paraId="1271BFEB" w14:textId="77777777" w:rsidR="00C639AD" w:rsidRPr="00B07801" w:rsidRDefault="00C639AD" w:rsidP="00A24EA4">
            <w:pPr>
              <w:jc w:val="right"/>
              <w:rPr>
                <w:rFonts w:cstheme="minorHAnsi"/>
                <w:color w:val="000000"/>
              </w:rPr>
            </w:pPr>
            <w:r>
              <w:rPr>
                <w:rFonts w:ascii="Calibri" w:hAnsi="Calibri" w:cs="Calibri"/>
                <w:color w:val="000000"/>
              </w:rPr>
              <w:t xml:space="preserve">        567.757 </w:t>
            </w:r>
          </w:p>
        </w:tc>
        <w:tc>
          <w:tcPr>
            <w:tcW w:w="1212" w:type="pct"/>
            <w:shd w:val="clear" w:color="auto" w:fill="EDEDED" w:themeFill="accent3" w:themeFillTint="33"/>
            <w:noWrap/>
            <w:vAlign w:val="bottom"/>
            <w:hideMark/>
          </w:tcPr>
          <w:p w14:paraId="30DC5A23" w14:textId="77777777" w:rsidR="00C639AD" w:rsidRPr="00B07801" w:rsidRDefault="00C639AD" w:rsidP="00A24EA4">
            <w:pPr>
              <w:jc w:val="right"/>
              <w:rPr>
                <w:rFonts w:cstheme="minorHAnsi"/>
                <w:color w:val="000000"/>
              </w:rPr>
            </w:pPr>
            <w:r>
              <w:rPr>
                <w:rFonts w:ascii="Calibri" w:hAnsi="Calibri" w:cs="Calibri"/>
                <w:color w:val="000000"/>
              </w:rPr>
              <w:t xml:space="preserve">         57,5 </w:t>
            </w:r>
          </w:p>
        </w:tc>
        <w:tc>
          <w:tcPr>
            <w:tcW w:w="1212" w:type="pct"/>
            <w:shd w:val="clear" w:color="auto" w:fill="EDEDED" w:themeFill="accent3" w:themeFillTint="33"/>
            <w:noWrap/>
            <w:vAlign w:val="bottom"/>
          </w:tcPr>
          <w:p w14:paraId="107ABA4C" w14:textId="77777777" w:rsidR="00C639AD" w:rsidRPr="00B07801" w:rsidRDefault="00C639AD" w:rsidP="00A24EA4">
            <w:pPr>
              <w:jc w:val="right"/>
              <w:rPr>
                <w:rFonts w:cstheme="minorHAnsi"/>
                <w:color w:val="000000"/>
              </w:rPr>
            </w:pPr>
            <w:r>
              <w:rPr>
                <w:rFonts w:ascii="Calibri" w:hAnsi="Calibri" w:cs="Calibri"/>
                <w:color w:val="000000"/>
              </w:rPr>
              <w:t xml:space="preserve">           6,9 </w:t>
            </w:r>
          </w:p>
        </w:tc>
      </w:tr>
      <w:tr w:rsidR="00C639AD" w:rsidRPr="00B07801" w14:paraId="1B934E99" w14:textId="77777777" w:rsidTr="00A24EA4">
        <w:trPr>
          <w:trHeight w:val="300"/>
        </w:trPr>
        <w:tc>
          <w:tcPr>
            <w:tcW w:w="1364" w:type="pct"/>
            <w:shd w:val="clear" w:color="auto" w:fill="EDEDED" w:themeFill="accent3" w:themeFillTint="33"/>
            <w:noWrap/>
            <w:hideMark/>
          </w:tcPr>
          <w:p w14:paraId="5A0AAA17" w14:textId="77777777" w:rsidR="00C639AD" w:rsidRPr="00B07801" w:rsidRDefault="00C639AD" w:rsidP="00A24EA4">
            <w:pPr>
              <w:rPr>
                <w:rFonts w:cstheme="minorHAnsi"/>
                <w:color w:val="000000"/>
              </w:rPr>
            </w:pPr>
            <w:r w:rsidRPr="00B07801">
              <w:rPr>
                <w:rFonts w:cstheme="minorHAnsi"/>
                <w:color w:val="000000"/>
              </w:rPr>
              <w:t>stabilimenti balneari</w:t>
            </w:r>
          </w:p>
        </w:tc>
        <w:tc>
          <w:tcPr>
            <w:tcW w:w="1212" w:type="pct"/>
            <w:shd w:val="clear" w:color="auto" w:fill="EDEDED" w:themeFill="accent3" w:themeFillTint="33"/>
            <w:noWrap/>
            <w:vAlign w:val="bottom"/>
            <w:hideMark/>
          </w:tcPr>
          <w:p w14:paraId="662C245F" w14:textId="77777777" w:rsidR="00C639AD" w:rsidRPr="00B07801" w:rsidRDefault="00C639AD" w:rsidP="00A24EA4">
            <w:pPr>
              <w:jc w:val="right"/>
              <w:rPr>
                <w:rFonts w:cstheme="minorHAnsi"/>
                <w:color w:val="000000"/>
              </w:rPr>
            </w:pPr>
            <w:r>
              <w:rPr>
                <w:rFonts w:ascii="Calibri" w:hAnsi="Calibri" w:cs="Calibri"/>
                <w:color w:val="000000"/>
              </w:rPr>
              <w:t xml:space="preserve">           21.076 </w:t>
            </w:r>
          </w:p>
        </w:tc>
        <w:tc>
          <w:tcPr>
            <w:tcW w:w="1212" w:type="pct"/>
            <w:shd w:val="clear" w:color="auto" w:fill="EDEDED" w:themeFill="accent3" w:themeFillTint="33"/>
            <w:noWrap/>
            <w:vAlign w:val="bottom"/>
            <w:hideMark/>
          </w:tcPr>
          <w:p w14:paraId="467C3F8E" w14:textId="77777777" w:rsidR="00C639AD" w:rsidRPr="00B07801" w:rsidRDefault="00C639AD" w:rsidP="00A24EA4">
            <w:pPr>
              <w:jc w:val="right"/>
              <w:rPr>
                <w:rFonts w:cstheme="minorHAnsi"/>
                <w:color w:val="000000"/>
              </w:rPr>
            </w:pPr>
            <w:r>
              <w:rPr>
                <w:rFonts w:ascii="Calibri" w:hAnsi="Calibri" w:cs="Calibri"/>
                <w:color w:val="000000"/>
              </w:rPr>
              <w:t xml:space="preserve">           2,1 </w:t>
            </w:r>
          </w:p>
        </w:tc>
        <w:tc>
          <w:tcPr>
            <w:tcW w:w="1212" w:type="pct"/>
            <w:shd w:val="clear" w:color="auto" w:fill="EDEDED" w:themeFill="accent3" w:themeFillTint="33"/>
            <w:noWrap/>
            <w:vAlign w:val="bottom"/>
          </w:tcPr>
          <w:p w14:paraId="279F0BC5" w14:textId="77777777" w:rsidR="00C639AD" w:rsidRPr="00B07801" w:rsidRDefault="00C639AD" w:rsidP="00A24EA4">
            <w:pPr>
              <w:jc w:val="right"/>
              <w:rPr>
                <w:rFonts w:cstheme="minorHAnsi"/>
                <w:color w:val="000000"/>
              </w:rPr>
            </w:pPr>
            <w:r>
              <w:rPr>
                <w:rFonts w:ascii="Calibri" w:hAnsi="Calibri" w:cs="Calibri"/>
                <w:color w:val="000000"/>
              </w:rPr>
              <w:t xml:space="preserve">           6,7 </w:t>
            </w:r>
          </w:p>
        </w:tc>
      </w:tr>
      <w:tr w:rsidR="00C639AD" w:rsidRPr="00A17174" w14:paraId="611269F5" w14:textId="77777777" w:rsidTr="00A24EA4">
        <w:trPr>
          <w:cnfStyle w:val="010000000000" w:firstRow="0" w:lastRow="1" w:firstColumn="0" w:lastColumn="0" w:oddVBand="0" w:evenVBand="0" w:oddHBand="0" w:evenHBand="0" w:firstRowFirstColumn="0" w:firstRowLastColumn="0" w:lastRowFirstColumn="0" w:lastRowLastColumn="0"/>
          <w:trHeight w:val="300"/>
        </w:trPr>
        <w:tc>
          <w:tcPr>
            <w:tcW w:w="1364" w:type="pct"/>
            <w:noWrap/>
            <w:hideMark/>
          </w:tcPr>
          <w:p w14:paraId="7D3B08BD" w14:textId="77777777" w:rsidR="00C639AD" w:rsidRPr="00B07801" w:rsidRDefault="00C639AD" w:rsidP="00A24EA4">
            <w:pPr>
              <w:rPr>
                <w:rFonts w:cstheme="minorHAnsi"/>
              </w:rPr>
            </w:pPr>
            <w:r w:rsidRPr="00B07801">
              <w:rPr>
                <w:rFonts w:cstheme="minorHAnsi"/>
              </w:rPr>
              <w:t xml:space="preserve"> Totale </w:t>
            </w:r>
          </w:p>
        </w:tc>
        <w:tc>
          <w:tcPr>
            <w:tcW w:w="1212" w:type="pct"/>
            <w:noWrap/>
            <w:vAlign w:val="bottom"/>
            <w:hideMark/>
          </w:tcPr>
          <w:p w14:paraId="5CCB2D99" w14:textId="77777777" w:rsidR="00C639AD" w:rsidRPr="001870DE" w:rsidRDefault="00C639AD" w:rsidP="00A24EA4">
            <w:pPr>
              <w:jc w:val="right"/>
              <w:rPr>
                <w:rFonts w:cstheme="minorHAnsi"/>
              </w:rPr>
            </w:pPr>
            <w:r w:rsidRPr="001870DE">
              <w:rPr>
                <w:rFonts w:ascii="Calibri" w:hAnsi="Calibri" w:cs="Calibri"/>
              </w:rPr>
              <w:t xml:space="preserve">        987.052 </w:t>
            </w:r>
          </w:p>
        </w:tc>
        <w:tc>
          <w:tcPr>
            <w:tcW w:w="1212" w:type="pct"/>
            <w:noWrap/>
            <w:vAlign w:val="bottom"/>
            <w:hideMark/>
          </w:tcPr>
          <w:p w14:paraId="79A138FF" w14:textId="77777777" w:rsidR="00C639AD" w:rsidRPr="006F4B3B" w:rsidRDefault="00C639AD" w:rsidP="00A24EA4">
            <w:pPr>
              <w:jc w:val="right"/>
              <w:rPr>
                <w:rFonts w:cstheme="minorHAnsi"/>
              </w:rPr>
            </w:pPr>
            <w:r w:rsidRPr="001870DE">
              <w:rPr>
                <w:rFonts w:ascii="Calibri" w:hAnsi="Calibri" w:cs="Calibri"/>
              </w:rPr>
              <w:t xml:space="preserve">       100,0 </w:t>
            </w:r>
          </w:p>
        </w:tc>
        <w:tc>
          <w:tcPr>
            <w:tcW w:w="1212" w:type="pct"/>
            <w:noWrap/>
            <w:vAlign w:val="bottom"/>
          </w:tcPr>
          <w:p w14:paraId="3914767D" w14:textId="77777777" w:rsidR="00C639AD" w:rsidRPr="00A17174" w:rsidRDefault="00C639AD" w:rsidP="00A24EA4">
            <w:pPr>
              <w:jc w:val="right"/>
              <w:rPr>
                <w:rFonts w:cstheme="minorHAnsi"/>
              </w:rPr>
            </w:pPr>
            <w:r w:rsidRPr="00387F3A">
              <w:rPr>
                <w:rFonts w:ascii="Calibri" w:hAnsi="Calibri" w:cs="Calibri"/>
              </w:rPr>
              <w:t xml:space="preserve">           6,0 </w:t>
            </w:r>
          </w:p>
        </w:tc>
      </w:tr>
    </w:tbl>
    <w:p w14:paraId="1A77BFF6" w14:textId="77777777" w:rsidR="00C639AD" w:rsidRDefault="00C639AD" w:rsidP="00C639AD">
      <w:pPr>
        <w:ind w:left="851" w:hanging="851"/>
        <w:rPr>
          <w:rFonts w:ascii="Arial" w:hAnsi="Arial" w:cs="Arial"/>
          <w:color w:val="003F7E"/>
          <w:sz w:val="16"/>
          <w:szCs w:val="16"/>
        </w:rPr>
      </w:pPr>
      <w:r w:rsidRPr="005C3946">
        <w:rPr>
          <w:rFonts w:ascii="Arial" w:hAnsi="Arial" w:cs="Arial"/>
          <w:color w:val="003F7E"/>
          <w:sz w:val="16"/>
          <w:szCs w:val="16"/>
        </w:rPr>
        <w:t>Fonte: elaborazione C.S. Fipe su dati Inps</w:t>
      </w:r>
    </w:p>
    <w:p w14:paraId="7F0BFFAE" w14:textId="77777777" w:rsidR="00C639AD" w:rsidRDefault="00C639AD" w:rsidP="00C639AD">
      <w:pPr>
        <w:rPr>
          <w:rFonts w:ascii="Garamond" w:hAnsi="Garamond"/>
          <w:bCs/>
          <w:sz w:val="28"/>
          <w:szCs w:val="28"/>
        </w:rPr>
      </w:pPr>
    </w:p>
    <w:p w14:paraId="2D842641" w14:textId="5684FEA9" w:rsidR="00C639AD" w:rsidRDefault="00C639AD" w:rsidP="00C639AD">
      <w:pPr>
        <w:spacing w:line="360" w:lineRule="auto"/>
        <w:jc w:val="both"/>
        <w:rPr>
          <w:rFonts w:ascii="Verdana" w:hAnsi="Verdana"/>
          <w:sz w:val="22"/>
          <w:szCs w:val="22"/>
        </w:rPr>
      </w:pPr>
      <w:r w:rsidRPr="00C639AD">
        <w:rPr>
          <w:rFonts w:ascii="Verdana" w:hAnsi="Verdana"/>
          <w:sz w:val="22"/>
          <w:szCs w:val="22"/>
        </w:rPr>
        <w:t xml:space="preserve">Il recupero ha interessato </w:t>
      </w:r>
      <w:r w:rsidR="003632E7" w:rsidRPr="00C639AD">
        <w:rPr>
          <w:rFonts w:ascii="Verdana" w:hAnsi="Verdana"/>
          <w:sz w:val="22"/>
          <w:szCs w:val="22"/>
        </w:rPr>
        <w:t xml:space="preserve">in termini assoluti </w:t>
      </w:r>
      <w:r w:rsidRPr="00C639AD">
        <w:rPr>
          <w:rFonts w:ascii="Verdana" w:hAnsi="Verdana"/>
          <w:sz w:val="22"/>
          <w:szCs w:val="22"/>
        </w:rPr>
        <w:t xml:space="preserve">tutti i settori ma sono i ristoranti (+9.308), la fornitura di pasti preparati (+8.166) e gli stabilimenti </w:t>
      </w:r>
      <w:r w:rsidR="004B6160">
        <w:rPr>
          <w:rFonts w:ascii="Verdana" w:hAnsi="Verdana"/>
          <w:sz w:val="22"/>
          <w:szCs w:val="22"/>
        </w:rPr>
        <w:t>balneari (+3.766)</w:t>
      </w:r>
      <w:r w:rsidR="00A76B3B" w:rsidRPr="00A76B3B">
        <w:rPr>
          <w:rFonts w:ascii="Verdana" w:hAnsi="Verdana"/>
          <w:sz w:val="22"/>
          <w:szCs w:val="22"/>
        </w:rPr>
        <w:t xml:space="preserve"> </w:t>
      </w:r>
      <w:r w:rsidR="00A76B3B">
        <w:rPr>
          <w:rFonts w:ascii="Verdana" w:hAnsi="Verdana"/>
          <w:sz w:val="22"/>
          <w:szCs w:val="22"/>
        </w:rPr>
        <w:t>a crescere di più superando i livelli occupazionali del 2019.</w:t>
      </w:r>
    </w:p>
    <w:p w14:paraId="66F5EA50" w14:textId="77777777" w:rsidR="00C639AD" w:rsidRPr="00C639AD" w:rsidRDefault="00C639AD" w:rsidP="00C639AD">
      <w:pPr>
        <w:spacing w:line="360" w:lineRule="auto"/>
        <w:jc w:val="both"/>
        <w:rPr>
          <w:rFonts w:ascii="Verdana" w:hAnsi="Verdana"/>
          <w:sz w:val="22"/>
          <w:szCs w:val="22"/>
        </w:rPr>
      </w:pPr>
    </w:p>
    <w:p w14:paraId="1EDAD432" w14:textId="2177C2F0" w:rsidR="00C639AD" w:rsidRPr="005C3946" w:rsidRDefault="00C639AD" w:rsidP="00C639AD">
      <w:pPr>
        <w:rPr>
          <w:rFonts w:ascii="Arial" w:hAnsi="Arial" w:cs="Arial"/>
          <w:color w:val="003F7E"/>
          <w:sz w:val="16"/>
          <w:szCs w:val="16"/>
        </w:rPr>
      </w:pPr>
      <w:bookmarkStart w:id="1" w:name="_Hlk98844773"/>
      <w:r w:rsidRPr="007F1D86">
        <w:rPr>
          <w:rFonts w:ascii="Arial" w:hAnsi="Arial" w:cs="Arial"/>
          <w:b/>
          <w:color w:val="003F7E"/>
          <w:sz w:val="20"/>
          <w:szCs w:val="18"/>
        </w:rPr>
        <w:t>Pubblici esercizi - Lavoratori dipendenti per comparto</w:t>
      </w:r>
      <w:r>
        <w:rPr>
          <w:rFonts w:ascii="Arial" w:hAnsi="Arial" w:cs="Arial"/>
          <w:b/>
          <w:color w:val="003F7E"/>
          <w:sz w:val="20"/>
          <w:szCs w:val="18"/>
        </w:rPr>
        <w:t xml:space="preserve"> </w:t>
      </w:r>
      <w:r w:rsidRPr="00353FD3">
        <w:rPr>
          <w:rFonts w:ascii="Arial" w:hAnsi="Arial" w:cs="Arial"/>
          <w:bCs/>
          <w:color w:val="003F7E"/>
          <w:sz w:val="16"/>
          <w:szCs w:val="14"/>
        </w:rPr>
        <w:t>(confronto 2019-2021</w:t>
      </w:r>
      <w:r>
        <w:rPr>
          <w:rFonts w:ascii="Arial" w:hAnsi="Arial" w:cs="Arial"/>
          <w:bCs/>
          <w:color w:val="003F7E"/>
          <w:sz w:val="16"/>
          <w:szCs w:val="14"/>
        </w:rPr>
        <w:t>-2022)</w:t>
      </w:r>
    </w:p>
    <w:tbl>
      <w:tblPr>
        <w:tblStyle w:val="Tabellagriglia5scura-colore5"/>
        <w:tblW w:w="4782" w:type="pct"/>
        <w:tblLayout w:type="fixed"/>
        <w:tblLook w:val="0660" w:firstRow="1" w:lastRow="1" w:firstColumn="0" w:lastColumn="0" w:noHBand="1" w:noVBand="1"/>
      </w:tblPr>
      <w:tblGrid>
        <w:gridCol w:w="3112"/>
        <w:gridCol w:w="1702"/>
        <w:gridCol w:w="1560"/>
        <w:gridCol w:w="1418"/>
        <w:gridCol w:w="1416"/>
      </w:tblGrid>
      <w:tr w:rsidR="00C639AD" w:rsidRPr="00B07801" w14:paraId="4DD78FF9" w14:textId="77777777" w:rsidTr="00A24EA4">
        <w:trPr>
          <w:cnfStyle w:val="100000000000" w:firstRow="1" w:lastRow="0" w:firstColumn="0" w:lastColumn="0" w:oddVBand="0" w:evenVBand="0" w:oddHBand="0" w:evenHBand="0" w:firstRowFirstColumn="0" w:firstRowLastColumn="0" w:lastRowFirstColumn="0" w:lastRowLastColumn="0"/>
          <w:trHeight w:val="243"/>
        </w:trPr>
        <w:tc>
          <w:tcPr>
            <w:tcW w:w="1690" w:type="pct"/>
            <w:vMerge w:val="restart"/>
            <w:noWrap/>
            <w:vAlign w:val="center"/>
            <w:hideMark/>
          </w:tcPr>
          <w:p w14:paraId="4C0B3EDB" w14:textId="77777777" w:rsidR="00C639AD" w:rsidRPr="00B07801" w:rsidRDefault="00C639AD" w:rsidP="00A24EA4">
            <w:pPr>
              <w:jc w:val="center"/>
              <w:rPr>
                <w:rFonts w:ascii="Calibri" w:hAnsi="Calibri" w:cs="Calibri"/>
              </w:rPr>
            </w:pPr>
          </w:p>
        </w:tc>
        <w:tc>
          <w:tcPr>
            <w:tcW w:w="1771" w:type="pct"/>
            <w:gridSpan w:val="2"/>
            <w:noWrap/>
            <w:vAlign w:val="center"/>
            <w:hideMark/>
          </w:tcPr>
          <w:p w14:paraId="66773657" w14:textId="77777777" w:rsidR="00C639AD" w:rsidRPr="00B07801" w:rsidRDefault="00C639AD" w:rsidP="00A24EA4">
            <w:pPr>
              <w:jc w:val="center"/>
              <w:rPr>
                <w:rFonts w:ascii="Calibri" w:hAnsi="Calibri" w:cs="Calibri"/>
                <w:b w:val="0"/>
                <w:bCs w:val="0"/>
              </w:rPr>
            </w:pPr>
            <w:r w:rsidRPr="003B702B">
              <w:rPr>
                <w:rFonts w:ascii="Calibri" w:hAnsi="Calibri" w:cs="Calibri"/>
              </w:rPr>
              <w:t>variazione assoluta</w:t>
            </w:r>
          </w:p>
          <w:p w14:paraId="066C9F32" w14:textId="77777777" w:rsidR="00C639AD" w:rsidRPr="00B07801" w:rsidRDefault="00C639AD" w:rsidP="00A24EA4">
            <w:pPr>
              <w:jc w:val="center"/>
              <w:rPr>
                <w:rFonts w:ascii="Calibri" w:hAnsi="Calibri" w:cs="Calibri"/>
              </w:rPr>
            </w:pPr>
          </w:p>
        </w:tc>
        <w:tc>
          <w:tcPr>
            <w:tcW w:w="1539" w:type="pct"/>
            <w:gridSpan w:val="2"/>
            <w:vAlign w:val="center"/>
            <w:hideMark/>
          </w:tcPr>
          <w:p w14:paraId="1023F0BF" w14:textId="77777777" w:rsidR="00C639AD" w:rsidRPr="00B07801" w:rsidRDefault="00C639AD" w:rsidP="00A24EA4">
            <w:pPr>
              <w:jc w:val="center"/>
              <w:rPr>
                <w:rFonts w:ascii="Calibri" w:hAnsi="Calibri" w:cs="Calibri"/>
              </w:rPr>
            </w:pPr>
            <w:r w:rsidRPr="00B07801">
              <w:rPr>
                <w:rFonts w:ascii="Calibri" w:hAnsi="Calibri" w:cs="Calibri"/>
              </w:rPr>
              <w:t>variazione %</w:t>
            </w:r>
          </w:p>
        </w:tc>
      </w:tr>
      <w:tr w:rsidR="00C639AD" w:rsidRPr="00B07801" w14:paraId="1C32BAEF" w14:textId="77777777" w:rsidTr="00A24EA4">
        <w:trPr>
          <w:trHeight w:val="246"/>
        </w:trPr>
        <w:tc>
          <w:tcPr>
            <w:tcW w:w="1690" w:type="pct"/>
            <w:vMerge/>
            <w:noWrap/>
            <w:vAlign w:val="center"/>
          </w:tcPr>
          <w:p w14:paraId="61BB3353" w14:textId="77777777" w:rsidR="00C639AD" w:rsidRPr="00B07801" w:rsidRDefault="00C639AD" w:rsidP="00A24EA4">
            <w:pPr>
              <w:jc w:val="center"/>
              <w:rPr>
                <w:rFonts w:ascii="Calibri" w:hAnsi="Calibri" w:cs="Calibri"/>
              </w:rPr>
            </w:pPr>
          </w:p>
        </w:tc>
        <w:tc>
          <w:tcPr>
            <w:tcW w:w="924" w:type="pct"/>
            <w:noWrap/>
            <w:vAlign w:val="center"/>
          </w:tcPr>
          <w:p w14:paraId="65ACD842" w14:textId="77777777" w:rsidR="00C639AD" w:rsidRPr="00B07801" w:rsidRDefault="00C639AD" w:rsidP="00A24EA4">
            <w:pPr>
              <w:jc w:val="center"/>
              <w:rPr>
                <w:rFonts w:ascii="Calibri" w:hAnsi="Calibri" w:cs="Calibri"/>
              </w:rPr>
            </w:pPr>
            <w:r>
              <w:rPr>
                <w:rFonts w:ascii="Calibri" w:hAnsi="Calibri" w:cs="Calibri"/>
              </w:rPr>
              <w:t>2022/2021</w:t>
            </w:r>
          </w:p>
        </w:tc>
        <w:tc>
          <w:tcPr>
            <w:tcW w:w="847" w:type="pct"/>
            <w:noWrap/>
            <w:vAlign w:val="center"/>
          </w:tcPr>
          <w:p w14:paraId="32F14567" w14:textId="77777777" w:rsidR="00C639AD" w:rsidRPr="00B07801" w:rsidRDefault="00C639AD" w:rsidP="00A24EA4">
            <w:pPr>
              <w:jc w:val="center"/>
              <w:rPr>
                <w:rFonts w:ascii="Calibri" w:hAnsi="Calibri" w:cs="Calibri"/>
              </w:rPr>
            </w:pPr>
            <w:r>
              <w:rPr>
                <w:rFonts w:ascii="Calibri" w:hAnsi="Calibri" w:cs="Calibri"/>
              </w:rPr>
              <w:t>2022/2019</w:t>
            </w:r>
          </w:p>
        </w:tc>
        <w:tc>
          <w:tcPr>
            <w:tcW w:w="770" w:type="pct"/>
            <w:vAlign w:val="center"/>
          </w:tcPr>
          <w:p w14:paraId="6D0049B2" w14:textId="77777777" w:rsidR="00C639AD" w:rsidRPr="00B07801" w:rsidRDefault="00C639AD" w:rsidP="00A24EA4">
            <w:pPr>
              <w:jc w:val="center"/>
              <w:rPr>
                <w:rFonts w:ascii="Calibri" w:hAnsi="Calibri" w:cs="Calibri"/>
              </w:rPr>
            </w:pPr>
            <w:r>
              <w:rPr>
                <w:rFonts w:ascii="Calibri" w:hAnsi="Calibri" w:cs="Calibri"/>
              </w:rPr>
              <w:t>2022/2021</w:t>
            </w:r>
          </w:p>
        </w:tc>
        <w:tc>
          <w:tcPr>
            <w:tcW w:w="769" w:type="pct"/>
            <w:noWrap/>
            <w:vAlign w:val="center"/>
          </w:tcPr>
          <w:p w14:paraId="3F18243B" w14:textId="77777777" w:rsidR="00C639AD" w:rsidRPr="00B07801" w:rsidRDefault="00C639AD" w:rsidP="00A24EA4">
            <w:pPr>
              <w:jc w:val="center"/>
              <w:rPr>
                <w:rFonts w:ascii="Calibri" w:hAnsi="Calibri" w:cs="Calibri"/>
              </w:rPr>
            </w:pPr>
            <w:r>
              <w:rPr>
                <w:rFonts w:ascii="Calibri" w:hAnsi="Calibri" w:cs="Calibri"/>
              </w:rPr>
              <w:t>2022/2019</w:t>
            </w:r>
          </w:p>
        </w:tc>
      </w:tr>
      <w:tr w:rsidR="00C639AD" w:rsidRPr="00AD4EFB" w14:paraId="193F96C5" w14:textId="77777777" w:rsidTr="00A24EA4">
        <w:trPr>
          <w:trHeight w:val="300"/>
        </w:trPr>
        <w:tc>
          <w:tcPr>
            <w:tcW w:w="1690" w:type="pct"/>
            <w:shd w:val="clear" w:color="auto" w:fill="EDEDED" w:themeFill="accent3" w:themeFillTint="33"/>
            <w:noWrap/>
            <w:hideMark/>
          </w:tcPr>
          <w:p w14:paraId="613A31F2" w14:textId="77777777" w:rsidR="00C639AD" w:rsidRPr="00AD4EFB" w:rsidRDefault="00C639AD" w:rsidP="00A24EA4">
            <w:pPr>
              <w:rPr>
                <w:rFonts w:ascii="Calibri" w:hAnsi="Calibri" w:cs="Calibri"/>
                <w:color w:val="000000"/>
              </w:rPr>
            </w:pPr>
            <w:r w:rsidRPr="00AD4EFB">
              <w:rPr>
                <w:rFonts w:ascii="Arial" w:hAnsi="Arial" w:cs="Arial"/>
                <w:color w:val="000000"/>
              </w:rPr>
              <w:t>bar</w:t>
            </w:r>
          </w:p>
        </w:tc>
        <w:tc>
          <w:tcPr>
            <w:tcW w:w="924" w:type="pct"/>
            <w:shd w:val="clear" w:color="auto" w:fill="EDEDED" w:themeFill="accent3" w:themeFillTint="33"/>
            <w:noWrap/>
          </w:tcPr>
          <w:p w14:paraId="109B09ED" w14:textId="77777777" w:rsidR="00C639AD" w:rsidRPr="00AD4EFB" w:rsidRDefault="00C639AD" w:rsidP="00A24EA4">
            <w:pPr>
              <w:jc w:val="right"/>
              <w:rPr>
                <w:rFonts w:ascii="Calibri" w:hAnsi="Calibri" w:cs="Calibri"/>
                <w:color w:val="000000"/>
              </w:rPr>
            </w:pPr>
            <w:r w:rsidRPr="004D7211">
              <w:t xml:space="preserve"> 51.010 </w:t>
            </w:r>
          </w:p>
        </w:tc>
        <w:tc>
          <w:tcPr>
            <w:tcW w:w="847" w:type="pct"/>
            <w:shd w:val="clear" w:color="auto" w:fill="EDEDED" w:themeFill="accent3" w:themeFillTint="33"/>
            <w:noWrap/>
          </w:tcPr>
          <w:p w14:paraId="26D889FD" w14:textId="77777777" w:rsidR="00C639AD" w:rsidRPr="00AD4EFB" w:rsidRDefault="00C639AD" w:rsidP="00A24EA4">
            <w:pPr>
              <w:jc w:val="right"/>
              <w:rPr>
                <w:rFonts w:ascii="Calibri" w:hAnsi="Calibri" w:cs="Calibri"/>
                <w:color w:val="000000"/>
              </w:rPr>
            </w:pPr>
            <w:r w:rsidRPr="00E54BF7">
              <w:t xml:space="preserve">-16.907 </w:t>
            </w:r>
          </w:p>
        </w:tc>
        <w:tc>
          <w:tcPr>
            <w:tcW w:w="770" w:type="pct"/>
            <w:shd w:val="clear" w:color="auto" w:fill="EDEDED" w:themeFill="accent3" w:themeFillTint="33"/>
            <w:noWrap/>
          </w:tcPr>
          <w:p w14:paraId="5C326DEC" w14:textId="77777777" w:rsidR="00C639AD" w:rsidRPr="00AD4EFB" w:rsidRDefault="00C639AD" w:rsidP="00A24EA4">
            <w:pPr>
              <w:jc w:val="right"/>
              <w:rPr>
                <w:rFonts w:ascii="Calibri" w:hAnsi="Calibri" w:cs="Calibri"/>
                <w:color w:val="000000"/>
              </w:rPr>
            </w:pPr>
            <w:r w:rsidRPr="00C261D3">
              <w:t xml:space="preserve"> 24,8 </w:t>
            </w:r>
          </w:p>
        </w:tc>
        <w:tc>
          <w:tcPr>
            <w:tcW w:w="769" w:type="pct"/>
            <w:shd w:val="clear" w:color="auto" w:fill="EDEDED" w:themeFill="accent3" w:themeFillTint="33"/>
            <w:noWrap/>
          </w:tcPr>
          <w:p w14:paraId="15AFEDB9" w14:textId="77777777" w:rsidR="00C639AD" w:rsidRPr="00AD4EFB" w:rsidRDefault="00C639AD" w:rsidP="00A24EA4">
            <w:pPr>
              <w:jc w:val="right"/>
              <w:rPr>
                <w:rFonts w:ascii="Calibri" w:hAnsi="Calibri" w:cs="Calibri"/>
                <w:color w:val="000000"/>
              </w:rPr>
            </w:pPr>
            <w:r w:rsidRPr="00F328D2">
              <w:t xml:space="preserve">-6,2 </w:t>
            </w:r>
          </w:p>
        </w:tc>
      </w:tr>
      <w:tr w:rsidR="00C639AD" w:rsidRPr="00AD4EFB" w14:paraId="460B698D" w14:textId="77777777" w:rsidTr="00A24EA4">
        <w:trPr>
          <w:trHeight w:val="300"/>
        </w:trPr>
        <w:tc>
          <w:tcPr>
            <w:tcW w:w="1690" w:type="pct"/>
            <w:shd w:val="clear" w:color="auto" w:fill="EDEDED" w:themeFill="accent3" w:themeFillTint="33"/>
            <w:noWrap/>
            <w:hideMark/>
          </w:tcPr>
          <w:p w14:paraId="3787BEC3" w14:textId="77777777" w:rsidR="00C639AD" w:rsidRPr="00AD4EFB" w:rsidRDefault="00C639AD" w:rsidP="00A24EA4">
            <w:pPr>
              <w:rPr>
                <w:rFonts w:ascii="Calibri" w:hAnsi="Calibri" w:cs="Calibri"/>
                <w:color w:val="000000"/>
              </w:rPr>
            </w:pPr>
            <w:r w:rsidRPr="00AD4EFB">
              <w:rPr>
                <w:rFonts w:ascii="Arial" w:hAnsi="Arial" w:cs="Arial"/>
                <w:color w:val="000000"/>
              </w:rPr>
              <w:t>discoteche</w:t>
            </w:r>
          </w:p>
        </w:tc>
        <w:tc>
          <w:tcPr>
            <w:tcW w:w="924" w:type="pct"/>
            <w:shd w:val="clear" w:color="auto" w:fill="EDEDED" w:themeFill="accent3" w:themeFillTint="33"/>
            <w:noWrap/>
          </w:tcPr>
          <w:p w14:paraId="6DAE0558" w14:textId="77777777" w:rsidR="00C639AD" w:rsidRPr="00AD4EFB" w:rsidRDefault="00C639AD" w:rsidP="00A24EA4">
            <w:pPr>
              <w:jc w:val="right"/>
              <w:rPr>
                <w:rFonts w:ascii="Calibri" w:hAnsi="Calibri" w:cs="Calibri"/>
                <w:color w:val="000000"/>
              </w:rPr>
            </w:pPr>
            <w:r w:rsidRPr="004D7211">
              <w:t xml:space="preserve"> 1.904 </w:t>
            </w:r>
          </w:p>
        </w:tc>
        <w:tc>
          <w:tcPr>
            <w:tcW w:w="847" w:type="pct"/>
            <w:shd w:val="clear" w:color="auto" w:fill="EDEDED" w:themeFill="accent3" w:themeFillTint="33"/>
            <w:noWrap/>
          </w:tcPr>
          <w:p w14:paraId="480FFE40" w14:textId="77777777" w:rsidR="00C639AD" w:rsidRPr="00AD4EFB" w:rsidRDefault="00C639AD" w:rsidP="00A24EA4">
            <w:pPr>
              <w:jc w:val="right"/>
              <w:rPr>
                <w:rFonts w:ascii="Calibri" w:hAnsi="Calibri" w:cs="Calibri"/>
                <w:color w:val="000000"/>
              </w:rPr>
            </w:pPr>
            <w:r w:rsidRPr="00E54BF7">
              <w:t xml:space="preserve">-1.848 </w:t>
            </w:r>
          </w:p>
        </w:tc>
        <w:tc>
          <w:tcPr>
            <w:tcW w:w="770" w:type="pct"/>
            <w:shd w:val="clear" w:color="auto" w:fill="EDEDED" w:themeFill="accent3" w:themeFillTint="33"/>
            <w:noWrap/>
          </w:tcPr>
          <w:p w14:paraId="2899ABB4" w14:textId="77777777" w:rsidR="00C639AD" w:rsidRPr="00AD4EFB" w:rsidRDefault="00C639AD" w:rsidP="00A24EA4">
            <w:pPr>
              <w:jc w:val="right"/>
              <w:rPr>
                <w:rFonts w:ascii="Calibri" w:hAnsi="Calibri" w:cs="Calibri"/>
                <w:color w:val="000000"/>
              </w:rPr>
            </w:pPr>
            <w:r w:rsidRPr="00C261D3">
              <w:t xml:space="preserve"> 102,0 </w:t>
            </w:r>
          </w:p>
        </w:tc>
        <w:tc>
          <w:tcPr>
            <w:tcW w:w="769" w:type="pct"/>
            <w:shd w:val="clear" w:color="auto" w:fill="EDEDED" w:themeFill="accent3" w:themeFillTint="33"/>
            <w:noWrap/>
          </w:tcPr>
          <w:p w14:paraId="2A5CD2B0" w14:textId="77777777" w:rsidR="00C639AD" w:rsidRPr="00AD4EFB" w:rsidRDefault="00C639AD" w:rsidP="00A24EA4">
            <w:pPr>
              <w:jc w:val="right"/>
              <w:rPr>
                <w:rFonts w:ascii="Calibri" w:hAnsi="Calibri" w:cs="Calibri"/>
                <w:color w:val="000000"/>
              </w:rPr>
            </w:pPr>
            <w:r w:rsidRPr="00F328D2">
              <w:t xml:space="preserve">-32,9 </w:t>
            </w:r>
          </w:p>
        </w:tc>
      </w:tr>
      <w:tr w:rsidR="00C639AD" w:rsidRPr="00AD4EFB" w14:paraId="2208E09F" w14:textId="77777777" w:rsidTr="00A24EA4">
        <w:trPr>
          <w:trHeight w:val="300"/>
        </w:trPr>
        <w:tc>
          <w:tcPr>
            <w:tcW w:w="1690" w:type="pct"/>
            <w:shd w:val="clear" w:color="auto" w:fill="EDEDED" w:themeFill="accent3" w:themeFillTint="33"/>
            <w:noWrap/>
            <w:hideMark/>
          </w:tcPr>
          <w:p w14:paraId="3EDD283B" w14:textId="77777777" w:rsidR="00C639AD" w:rsidRPr="00AD4EFB" w:rsidRDefault="00C639AD" w:rsidP="00A24EA4">
            <w:pPr>
              <w:rPr>
                <w:rFonts w:ascii="Calibri" w:hAnsi="Calibri" w:cs="Calibri"/>
                <w:color w:val="000000"/>
              </w:rPr>
            </w:pPr>
            <w:r w:rsidRPr="00AD4EFB">
              <w:rPr>
                <w:rFonts w:ascii="Arial" w:hAnsi="Arial" w:cs="Arial"/>
                <w:color w:val="000000"/>
              </w:rPr>
              <w:t>mense e catering</w:t>
            </w:r>
          </w:p>
        </w:tc>
        <w:tc>
          <w:tcPr>
            <w:tcW w:w="924" w:type="pct"/>
            <w:shd w:val="clear" w:color="auto" w:fill="EDEDED" w:themeFill="accent3" w:themeFillTint="33"/>
            <w:noWrap/>
          </w:tcPr>
          <w:p w14:paraId="455D2963" w14:textId="77777777" w:rsidR="00C639AD" w:rsidRPr="00AD4EFB" w:rsidRDefault="00C639AD" w:rsidP="00A24EA4">
            <w:pPr>
              <w:jc w:val="right"/>
              <w:rPr>
                <w:rFonts w:ascii="Calibri" w:hAnsi="Calibri" w:cs="Calibri"/>
                <w:color w:val="000000"/>
              </w:rPr>
            </w:pPr>
            <w:r w:rsidRPr="004D7211">
              <w:t xml:space="preserve"> 3.118 </w:t>
            </w:r>
          </w:p>
        </w:tc>
        <w:tc>
          <w:tcPr>
            <w:tcW w:w="847" w:type="pct"/>
            <w:shd w:val="clear" w:color="auto" w:fill="EDEDED" w:themeFill="accent3" w:themeFillTint="33"/>
            <w:noWrap/>
          </w:tcPr>
          <w:p w14:paraId="22099F85" w14:textId="77777777" w:rsidR="00C639AD" w:rsidRPr="00AD4EFB" w:rsidRDefault="00C639AD" w:rsidP="00A24EA4">
            <w:pPr>
              <w:jc w:val="right"/>
              <w:rPr>
                <w:rFonts w:ascii="Calibri" w:hAnsi="Calibri" w:cs="Calibri"/>
                <w:color w:val="000000"/>
              </w:rPr>
            </w:pPr>
            <w:r w:rsidRPr="00E54BF7">
              <w:t xml:space="preserve">-6.181 </w:t>
            </w:r>
          </w:p>
        </w:tc>
        <w:tc>
          <w:tcPr>
            <w:tcW w:w="770" w:type="pct"/>
            <w:shd w:val="clear" w:color="auto" w:fill="EDEDED" w:themeFill="accent3" w:themeFillTint="33"/>
            <w:noWrap/>
          </w:tcPr>
          <w:p w14:paraId="66398203" w14:textId="77777777" w:rsidR="00C639AD" w:rsidRPr="00AD4EFB" w:rsidRDefault="00C639AD" w:rsidP="00A24EA4">
            <w:pPr>
              <w:jc w:val="right"/>
              <w:rPr>
                <w:rFonts w:ascii="Calibri" w:hAnsi="Calibri" w:cs="Calibri"/>
                <w:color w:val="000000"/>
              </w:rPr>
            </w:pPr>
            <w:r w:rsidRPr="00C261D3">
              <w:t xml:space="preserve"> 4,9 </w:t>
            </w:r>
          </w:p>
        </w:tc>
        <w:tc>
          <w:tcPr>
            <w:tcW w:w="769" w:type="pct"/>
            <w:shd w:val="clear" w:color="auto" w:fill="EDEDED" w:themeFill="accent3" w:themeFillTint="33"/>
            <w:noWrap/>
          </w:tcPr>
          <w:p w14:paraId="473D9EFB" w14:textId="77777777" w:rsidR="00C639AD" w:rsidRPr="00AD4EFB" w:rsidRDefault="00C639AD" w:rsidP="00A24EA4">
            <w:pPr>
              <w:jc w:val="right"/>
              <w:rPr>
                <w:rFonts w:ascii="Calibri" w:hAnsi="Calibri" w:cs="Calibri"/>
                <w:color w:val="000000"/>
              </w:rPr>
            </w:pPr>
            <w:r w:rsidRPr="00F328D2">
              <w:t xml:space="preserve">-8,5 </w:t>
            </w:r>
          </w:p>
        </w:tc>
      </w:tr>
      <w:tr w:rsidR="00C639AD" w:rsidRPr="00AD4EFB" w14:paraId="624A6530" w14:textId="77777777" w:rsidTr="00A24EA4">
        <w:trPr>
          <w:trHeight w:val="300"/>
        </w:trPr>
        <w:tc>
          <w:tcPr>
            <w:tcW w:w="1690" w:type="pct"/>
            <w:shd w:val="clear" w:color="auto" w:fill="EDEDED" w:themeFill="accent3" w:themeFillTint="33"/>
            <w:noWrap/>
            <w:hideMark/>
          </w:tcPr>
          <w:p w14:paraId="499DFAA5" w14:textId="77777777" w:rsidR="00C639AD" w:rsidRPr="00AD4EFB" w:rsidRDefault="00C639AD" w:rsidP="00A24EA4">
            <w:pPr>
              <w:rPr>
                <w:rFonts w:ascii="Calibri" w:hAnsi="Calibri" w:cs="Calibri"/>
                <w:color w:val="000000"/>
              </w:rPr>
            </w:pPr>
            <w:r w:rsidRPr="00AD4EFB">
              <w:rPr>
                <w:rFonts w:ascii="Arial" w:hAnsi="Arial" w:cs="Arial"/>
                <w:color w:val="000000"/>
              </w:rPr>
              <w:t>fornitura di pasti preparati</w:t>
            </w:r>
          </w:p>
        </w:tc>
        <w:tc>
          <w:tcPr>
            <w:tcW w:w="924" w:type="pct"/>
            <w:shd w:val="clear" w:color="auto" w:fill="EDEDED" w:themeFill="accent3" w:themeFillTint="33"/>
            <w:noWrap/>
          </w:tcPr>
          <w:p w14:paraId="4CA55F56" w14:textId="77777777" w:rsidR="00C639AD" w:rsidRPr="00AD4EFB" w:rsidRDefault="00C639AD" w:rsidP="00A24EA4">
            <w:pPr>
              <w:jc w:val="right"/>
              <w:rPr>
                <w:rFonts w:ascii="Calibri" w:hAnsi="Calibri" w:cs="Calibri"/>
                <w:color w:val="000000"/>
              </w:rPr>
            </w:pPr>
            <w:r w:rsidRPr="004D7211">
              <w:t xml:space="preserve"> 7.793 </w:t>
            </w:r>
          </w:p>
        </w:tc>
        <w:tc>
          <w:tcPr>
            <w:tcW w:w="847" w:type="pct"/>
            <w:shd w:val="clear" w:color="auto" w:fill="EDEDED" w:themeFill="accent3" w:themeFillTint="33"/>
            <w:noWrap/>
          </w:tcPr>
          <w:p w14:paraId="7F474672" w14:textId="77777777" w:rsidR="00C639AD" w:rsidRPr="00AD4EFB" w:rsidRDefault="00C639AD" w:rsidP="00A24EA4">
            <w:pPr>
              <w:jc w:val="right"/>
              <w:rPr>
                <w:rFonts w:ascii="Calibri" w:hAnsi="Calibri" w:cs="Calibri"/>
                <w:color w:val="000000"/>
              </w:rPr>
            </w:pPr>
            <w:r w:rsidRPr="00E54BF7">
              <w:t xml:space="preserve"> 8.166 </w:t>
            </w:r>
          </w:p>
        </w:tc>
        <w:tc>
          <w:tcPr>
            <w:tcW w:w="770" w:type="pct"/>
            <w:shd w:val="clear" w:color="auto" w:fill="EDEDED" w:themeFill="accent3" w:themeFillTint="33"/>
            <w:noWrap/>
          </w:tcPr>
          <w:p w14:paraId="6C668C4E" w14:textId="77777777" w:rsidR="00C639AD" w:rsidRPr="00AD4EFB" w:rsidRDefault="00C639AD" w:rsidP="00A24EA4">
            <w:pPr>
              <w:jc w:val="right"/>
              <w:rPr>
                <w:rFonts w:ascii="Calibri" w:hAnsi="Calibri" w:cs="Calibri"/>
                <w:color w:val="000000"/>
              </w:rPr>
            </w:pPr>
            <w:r w:rsidRPr="00C261D3">
              <w:t xml:space="preserve"> 12,3 </w:t>
            </w:r>
          </w:p>
        </w:tc>
        <w:tc>
          <w:tcPr>
            <w:tcW w:w="769" w:type="pct"/>
            <w:shd w:val="clear" w:color="auto" w:fill="EDEDED" w:themeFill="accent3" w:themeFillTint="33"/>
            <w:noWrap/>
          </w:tcPr>
          <w:p w14:paraId="35218725" w14:textId="77777777" w:rsidR="00C639AD" w:rsidRPr="00AD4EFB" w:rsidRDefault="00C639AD" w:rsidP="00A24EA4">
            <w:pPr>
              <w:jc w:val="right"/>
              <w:rPr>
                <w:rFonts w:ascii="Calibri" w:hAnsi="Calibri" w:cs="Calibri"/>
                <w:color w:val="000000"/>
              </w:rPr>
            </w:pPr>
            <w:r w:rsidRPr="00F328D2">
              <w:t xml:space="preserve"> 12,9 </w:t>
            </w:r>
          </w:p>
        </w:tc>
      </w:tr>
      <w:tr w:rsidR="00C639AD" w:rsidRPr="00AD4EFB" w14:paraId="4DBE484A" w14:textId="77777777" w:rsidTr="00A24EA4">
        <w:trPr>
          <w:trHeight w:val="300"/>
        </w:trPr>
        <w:tc>
          <w:tcPr>
            <w:tcW w:w="1690" w:type="pct"/>
            <w:shd w:val="clear" w:color="auto" w:fill="EDEDED" w:themeFill="accent3" w:themeFillTint="33"/>
            <w:noWrap/>
            <w:hideMark/>
          </w:tcPr>
          <w:p w14:paraId="5B18DEF8" w14:textId="77777777" w:rsidR="00C639AD" w:rsidRPr="00AD4EFB" w:rsidRDefault="00C639AD" w:rsidP="00A24EA4">
            <w:pPr>
              <w:rPr>
                <w:rFonts w:ascii="Calibri" w:hAnsi="Calibri" w:cs="Calibri"/>
                <w:color w:val="000000"/>
              </w:rPr>
            </w:pPr>
            <w:r w:rsidRPr="00AD4EFB">
              <w:rPr>
                <w:rFonts w:ascii="Arial" w:hAnsi="Arial" w:cs="Arial"/>
                <w:color w:val="000000"/>
              </w:rPr>
              <w:t>ristoranti</w:t>
            </w:r>
          </w:p>
        </w:tc>
        <w:tc>
          <w:tcPr>
            <w:tcW w:w="924" w:type="pct"/>
            <w:shd w:val="clear" w:color="auto" w:fill="EDEDED" w:themeFill="accent3" w:themeFillTint="33"/>
            <w:noWrap/>
          </w:tcPr>
          <w:p w14:paraId="642EA596" w14:textId="77777777" w:rsidR="00C639AD" w:rsidRPr="00AD4EFB" w:rsidRDefault="00C639AD" w:rsidP="00A24EA4">
            <w:pPr>
              <w:jc w:val="right"/>
              <w:rPr>
                <w:rFonts w:ascii="Calibri" w:hAnsi="Calibri" w:cs="Calibri"/>
                <w:color w:val="000000"/>
              </w:rPr>
            </w:pPr>
            <w:r w:rsidRPr="004D7211">
              <w:t xml:space="preserve"> 123.990 </w:t>
            </w:r>
          </w:p>
        </w:tc>
        <w:tc>
          <w:tcPr>
            <w:tcW w:w="847" w:type="pct"/>
            <w:shd w:val="clear" w:color="auto" w:fill="EDEDED" w:themeFill="accent3" w:themeFillTint="33"/>
            <w:noWrap/>
          </w:tcPr>
          <w:p w14:paraId="6C934EFF" w14:textId="77777777" w:rsidR="00C639AD" w:rsidRPr="00AD4EFB" w:rsidRDefault="00C639AD" w:rsidP="00A24EA4">
            <w:pPr>
              <w:jc w:val="right"/>
              <w:rPr>
                <w:rFonts w:ascii="Calibri" w:hAnsi="Calibri" w:cs="Calibri"/>
                <w:color w:val="000000"/>
              </w:rPr>
            </w:pPr>
            <w:r w:rsidRPr="00E54BF7">
              <w:t xml:space="preserve"> 9.308 </w:t>
            </w:r>
          </w:p>
        </w:tc>
        <w:tc>
          <w:tcPr>
            <w:tcW w:w="770" w:type="pct"/>
            <w:shd w:val="clear" w:color="auto" w:fill="EDEDED" w:themeFill="accent3" w:themeFillTint="33"/>
            <w:noWrap/>
          </w:tcPr>
          <w:p w14:paraId="6A4A6EDE" w14:textId="77777777" w:rsidR="00C639AD" w:rsidRPr="00AD4EFB" w:rsidRDefault="00C639AD" w:rsidP="00A24EA4">
            <w:pPr>
              <w:jc w:val="right"/>
              <w:rPr>
                <w:rFonts w:ascii="Calibri" w:hAnsi="Calibri" w:cs="Calibri"/>
                <w:color w:val="000000"/>
              </w:rPr>
            </w:pPr>
            <w:r w:rsidRPr="00C261D3">
              <w:t xml:space="preserve"> 27,9 </w:t>
            </w:r>
          </w:p>
        </w:tc>
        <w:tc>
          <w:tcPr>
            <w:tcW w:w="769" w:type="pct"/>
            <w:shd w:val="clear" w:color="auto" w:fill="EDEDED" w:themeFill="accent3" w:themeFillTint="33"/>
            <w:noWrap/>
          </w:tcPr>
          <w:p w14:paraId="448C1995" w14:textId="77777777" w:rsidR="00C639AD" w:rsidRPr="00AD4EFB" w:rsidRDefault="00C639AD" w:rsidP="00A24EA4">
            <w:pPr>
              <w:jc w:val="right"/>
              <w:rPr>
                <w:rFonts w:ascii="Calibri" w:hAnsi="Calibri" w:cs="Calibri"/>
                <w:color w:val="000000"/>
              </w:rPr>
            </w:pPr>
            <w:r w:rsidRPr="00F328D2">
              <w:t xml:space="preserve"> 1,7 </w:t>
            </w:r>
          </w:p>
        </w:tc>
      </w:tr>
      <w:tr w:rsidR="00C639AD" w:rsidRPr="00AD4EFB" w14:paraId="676A5D6E" w14:textId="77777777" w:rsidTr="00A24EA4">
        <w:trPr>
          <w:trHeight w:val="300"/>
        </w:trPr>
        <w:tc>
          <w:tcPr>
            <w:tcW w:w="1690" w:type="pct"/>
            <w:shd w:val="clear" w:color="auto" w:fill="EDEDED" w:themeFill="accent3" w:themeFillTint="33"/>
            <w:noWrap/>
            <w:hideMark/>
          </w:tcPr>
          <w:p w14:paraId="17E80C96" w14:textId="77777777" w:rsidR="00C639AD" w:rsidRPr="00AD4EFB" w:rsidRDefault="00C639AD" w:rsidP="00A24EA4">
            <w:pPr>
              <w:rPr>
                <w:rFonts w:ascii="Calibri" w:hAnsi="Calibri" w:cs="Calibri"/>
                <w:color w:val="000000"/>
              </w:rPr>
            </w:pPr>
            <w:r w:rsidRPr="00AD4EFB">
              <w:rPr>
                <w:rFonts w:ascii="Arial" w:hAnsi="Arial" w:cs="Arial"/>
                <w:color w:val="000000"/>
              </w:rPr>
              <w:t>stabilimenti balneari</w:t>
            </w:r>
          </w:p>
        </w:tc>
        <w:tc>
          <w:tcPr>
            <w:tcW w:w="924" w:type="pct"/>
            <w:shd w:val="clear" w:color="auto" w:fill="EDEDED" w:themeFill="accent3" w:themeFillTint="33"/>
            <w:noWrap/>
          </w:tcPr>
          <w:p w14:paraId="3C3797D5" w14:textId="77777777" w:rsidR="00C639AD" w:rsidRPr="00AD4EFB" w:rsidRDefault="00C639AD" w:rsidP="00A24EA4">
            <w:pPr>
              <w:jc w:val="right"/>
              <w:rPr>
                <w:rFonts w:ascii="Calibri" w:hAnsi="Calibri" w:cs="Calibri"/>
                <w:color w:val="000000"/>
              </w:rPr>
            </w:pPr>
            <w:r w:rsidRPr="004D7211">
              <w:t xml:space="preserve"> 2.718 </w:t>
            </w:r>
          </w:p>
        </w:tc>
        <w:tc>
          <w:tcPr>
            <w:tcW w:w="847" w:type="pct"/>
            <w:shd w:val="clear" w:color="auto" w:fill="EDEDED" w:themeFill="accent3" w:themeFillTint="33"/>
            <w:noWrap/>
          </w:tcPr>
          <w:p w14:paraId="3BC888D7" w14:textId="77777777" w:rsidR="00C639AD" w:rsidRPr="00AD4EFB" w:rsidRDefault="00C639AD" w:rsidP="00A24EA4">
            <w:pPr>
              <w:jc w:val="right"/>
              <w:rPr>
                <w:rFonts w:ascii="Calibri" w:hAnsi="Calibri" w:cs="Calibri"/>
                <w:color w:val="000000"/>
              </w:rPr>
            </w:pPr>
            <w:r w:rsidRPr="00E54BF7">
              <w:t xml:space="preserve"> 3.766 </w:t>
            </w:r>
          </w:p>
        </w:tc>
        <w:tc>
          <w:tcPr>
            <w:tcW w:w="770" w:type="pct"/>
            <w:shd w:val="clear" w:color="auto" w:fill="EDEDED" w:themeFill="accent3" w:themeFillTint="33"/>
            <w:noWrap/>
          </w:tcPr>
          <w:p w14:paraId="17367E5E" w14:textId="77777777" w:rsidR="00C639AD" w:rsidRPr="00AD4EFB" w:rsidRDefault="00C639AD" w:rsidP="00A24EA4">
            <w:pPr>
              <w:jc w:val="right"/>
              <w:rPr>
                <w:rFonts w:ascii="Calibri" w:hAnsi="Calibri" w:cs="Calibri"/>
                <w:color w:val="000000"/>
              </w:rPr>
            </w:pPr>
            <w:r w:rsidRPr="00C261D3">
              <w:t xml:space="preserve"> 14,8 </w:t>
            </w:r>
          </w:p>
        </w:tc>
        <w:tc>
          <w:tcPr>
            <w:tcW w:w="769" w:type="pct"/>
            <w:shd w:val="clear" w:color="auto" w:fill="EDEDED" w:themeFill="accent3" w:themeFillTint="33"/>
            <w:noWrap/>
          </w:tcPr>
          <w:p w14:paraId="209AA2F5" w14:textId="77777777" w:rsidR="00C639AD" w:rsidRPr="00AD4EFB" w:rsidRDefault="00C639AD" w:rsidP="00A24EA4">
            <w:pPr>
              <w:jc w:val="right"/>
              <w:rPr>
                <w:rFonts w:ascii="Calibri" w:hAnsi="Calibri" w:cs="Calibri"/>
                <w:color w:val="000000"/>
              </w:rPr>
            </w:pPr>
            <w:r w:rsidRPr="00F328D2">
              <w:t xml:space="preserve"> 21,8 </w:t>
            </w:r>
          </w:p>
        </w:tc>
      </w:tr>
      <w:tr w:rsidR="00C639AD" w:rsidRPr="00B07801" w14:paraId="439BA5FD" w14:textId="77777777" w:rsidTr="00A24EA4">
        <w:trPr>
          <w:cnfStyle w:val="010000000000" w:firstRow="0" w:lastRow="1" w:firstColumn="0" w:lastColumn="0" w:oddVBand="0" w:evenVBand="0" w:oddHBand="0" w:evenHBand="0" w:firstRowFirstColumn="0" w:firstRowLastColumn="0" w:lastRowFirstColumn="0" w:lastRowLastColumn="0"/>
          <w:trHeight w:val="300"/>
        </w:trPr>
        <w:tc>
          <w:tcPr>
            <w:tcW w:w="1690" w:type="pct"/>
            <w:noWrap/>
            <w:hideMark/>
          </w:tcPr>
          <w:p w14:paraId="768F2949" w14:textId="77777777" w:rsidR="00C639AD" w:rsidRPr="00B07801" w:rsidRDefault="00C639AD" w:rsidP="00A24EA4">
            <w:pPr>
              <w:jc w:val="right"/>
              <w:rPr>
                <w:rFonts w:ascii="Calibri" w:hAnsi="Calibri" w:cs="Calibri"/>
              </w:rPr>
            </w:pPr>
            <w:r w:rsidRPr="00B07801">
              <w:rPr>
                <w:rFonts w:ascii="Calibri" w:hAnsi="Calibri" w:cs="Calibri"/>
              </w:rPr>
              <w:t xml:space="preserve"> Totale </w:t>
            </w:r>
          </w:p>
        </w:tc>
        <w:tc>
          <w:tcPr>
            <w:tcW w:w="924" w:type="pct"/>
            <w:noWrap/>
          </w:tcPr>
          <w:p w14:paraId="6D2FDE09" w14:textId="77777777" w:rsidR="00C639AD" w:rsidRPr="00AC541F" w:rsidRDefault="00C639AD" w:rsidP="00A24EA4">
            <w:pPr>
              <w:jc w:val="right"/>
              <w:rPr>
                <w:rFonts w:ascii="Calibri" w:hAnsi="Calibri" w:cs="Calibri"/>
              </w:rPr>
            </w:pPr>
            <w:r w:rsidRPr="004D7211">
              <w:t xml:space="preserve"> 190.532 </w:t>
            </w:r>
          </w:p>
        </w:tc>
        <w:tc>
          <w:tcPr>
            <w:tcW w:w="847" w:type="pct"/>
            <w:noWrap/>
          </w:tcPr>
          <w:p w14:paraId="6065FDAC" w14:textId="77777777" w:rsidR="00C639AD" w:rsidRPr="00AC541F" w:rsidRDefault="00C639AD" w:rsidP="00A24EA4">
            <w:pPr>
              <w:jc w:val="right"/>
              <w:rPr>
                <w:rFonts w:ascii="Calibri" w:hAnsi="Calibri" w:cs="Calibri"/>
              </w:rPr>
            </w:pPr>
            <w:r w:rsidRPr="00E54BF7">
              <w:t xml:space="preserve">-3.696 </w:t>
            </w:r>
          </w:p>
        </w:tc>
        <w:tc>
          <w:tcPr>
            <w:tcW w:w="770" w:type="pct"/>
            <w:noWrap/>
          </w:tcPr>
          <w:p w14:paraId="43C199CF" w14:textId="77777777" w:rsidR="00C639AD" w:rsidRPr="00AC541F" w:rsidRDefault="00C639AD" w:rsidP="00A24EA4">
            <w:pPr>
              <w:jc w:val="right"/>
              <w:rPr>
                <w:rFonts w:ascii="Calibri" w:hAnsi="Calibri" w:cs="Calibri"/>
              </w:rPr>
            </w:pPr>
            <w:r w:rsidRPr="00C261D3">
              <w:t xml:space="preserve"> 23,9 </w:t>
            </w:r>
          </w:p>
        </w:tc>
        <w:tc>
          <w:tcPr>
            <w:tcW w:w="769" w:type="pct"/>
            <w:noWrap/>
          </w:tcPr>
          <w:p w14:paraId="75366A5F" w14:textId="77777777" w:rsidR="00C639AD" w:rsidRPr="00AC541F" w:rsidRDefault="00C639AD" w:rsidP="00A24EA4">
            <w:pPr>
              <w:jc w:val="right"/>
              <w:rPr>
                <w:rFonts w:ascii="Calibri" w:hAnsi="Calibri" w:cs="Calibri"/>
              </w:rPr>
            </w:pPr>
            <w:r w:rsidRPr="00F328D2">
              <w:t xml:space="preserve">-0,4 </w:t>
            </w:r>
          </w:p>
        </w:tc>
      </w:tr>
    </w:tbl>
    <w:p w14:paraId="453BAEE8" w14:textId="77777777" w:rsidR="00C639AD" w:rsidRDefault="00C639AD" w:rsidP="00C639AD">
      <w:pPr>
        <w:ind w:left="708" w:hanging="708"/>
        <w:rPr>
          <w:rFonts w:ascii="Arial" w:hAnsi="Arial" w:cs="Arial"/>
          <w:color w:val="003F7E"/>
          <w:sz w:val="16"/>
          <w:szCs w:val="16"/>
        </w:rPr>
      </w:pPr>
      <w:r w:rsidRPr="005C3946">
        <w:rPr>
          <w:rFonts w:ascii="Arial" w:hAnsi="Arial" w:cs="Arial"/>
          <w:color w:val="003F7E"/>
          <w:sz w:val="16"/>
          <w:szCs w:val="16"/>
        </w:rPr>
        <w:t>Fonte: elaborazione C.S. Fipe su dati Inps</w:t>
      </w:r>
    </w:p>
    <w:bookmarkEnd w:id="1"/>
    <w:p w14:paraId="42A24190" w14:textId="77777777" w:rsidR="00C639AD" w:rsidRDefault="00C639AD" w:rsidP="00C639AD">
      <w:pPr>
        <w:spacing w:line="360" w:lineRule="auto"/>
        <w:jc w:val="both"/>
        <w:rPr>
          <w:rFonts w:ascii="Verdana" w:hAnsi="Verdana"/>
          <w:sz w:val="22"/>
          <w:szCs w:val="22"/>
        </w:rPr>
      </w:pPr>
    </w:p>
    <w:p w14:paraId="79BA9DE3" w14:textId="042ADD6A" w:rsidR="004B6160" w:rsidRDefault="003632E7" w:rsidP="003632E7">
      <w:pPr>
        <w:spacing w:after="120" w:line="360" w:lineRule="auto"/>
        <w:jc w:val="both"/>
        <w:rPr>
          <w:rFonts w:ascii="Verdana" w:hAnsi="Verdana"/>
          <w:sz w:val="22"/>
          <w:szCs w:val="22"/>
        </w:rPr>
      </w:pPr>
      <w:r>
        <w:rPr>
          <w:rFonts w:ascii="Verdana" w:hAnsi="Verdana"/>
          <w:sz w:val="22"/>
          <w:szCs w:val="22"/>
        </w:rPr>
        <w:t xml:space="preserve">Anche in </w:t>
      </w:r>
      <w:r w:rsidR="004B6160">
        <w:rPr>
          <w:rFonts w:ascii="Verdana" w:hAnsi="Verdana"/>
          <w:sz w:val="22"/>
          <w:szCs w:val="22"/>
        </w:rPr>
        <w:t xml:space="preserve">bar, </w:t>
      </w:r>
      <w:r w:rsidR="00C639AD" w:rsidRPr="00C639AD">
        <w:rPr>
          <w:rFonts w:ascii="Verdana" w:hAnsi="Verdana"/>
          <w:sz w:val="22"/>
          <w:szCs w:val="22"/>
        </w:rPr>
        <w:t xml:space="preserve">discoteche </w:t>
      </w:r>
      <w:r w:rsidR="004B6160">
        <w:rPr>
          <w:rFonts w:ascii="Verdana" w:hAnsi="Verdana"/>
          <w:sz w:val="22"/>
          <w:szCs w:val="22"/>
        </w:rPr>
        <w:t xml:space="preserve">e ristorazione collettiva </w:t>
      </w:r>
      <w:r>
        <w:rPr>
          <w:rFonts w:ascii="Verdana" w:hAnsi="Verdana"/>
          <w:sz w:val="22"/>
          <w:szCs w:val="22"/>
        </w:rPr>
        <w:t>l’occupazione dipendente</w:t>
      </w:r>
      <w:r w:rsidRPr="00C639AD">
        <w:rPr>
          <w:rFonts w:ascii="Verdana" w:hAnsi="Verdana"/>
          <w:sz w:val="22"/>
          <w:szCs w:val="22"/>
        </w:rPr>
        <w:t xml:space="preserve"> </w:t>
      </w:r>
      <w:r w:rsidR="00C639AD" w:rsidRPr="00C639AD">
        <w:rPr>
          <w:rFonts w:ascii="Verdana" w:hAnsi="Verdana"/>
          <w:sz w:val="22"/>
          <w:szCs w:val="22"/>
        </w:rPr>
        <w:t xml:space="preserve">migliora ma resta ancora </w:t>
      </w:r>
      <w:r w:rsidR="004B6160">
        <w:rPr>
          <w:rFonts w:ascii="Verdana" w:hAnsi="Verdana"/>
          <w:sz w:val="22"/>
          <w:szCs w:val="22"/>
        </w:rPr>
        <w:t xml:space="preserve">sotto i valori del </w:t>
      </w:r>
      <w:r w:rsidR="00C639AD" w:rsidRPr="00C639AD">
        <w:rPr>
          <w:rFonts w:ascii="Verdana" w:hAnsi="Verdana"/>
          <w:sz w:val="22"/>
          <w:szCs w:val="22"/>
        </w:rPr>
        <w:t>2019.</w:t>
      </w:r>
      <w:r w:rsidR="00A76B3B">
        <w:rPr>
          <w:rFonts w:ascii="Verdana" w:hAnsi="Verdana"/>
          <w:sz w:val="22"/>
          <w:szCs w:val="22"/>
        </w:rPr>
        <w:t xml:space="preserve"> </w:t>
      </w:r>
      <w:r>
        <w:rPr>
          <w:rFonts w:ascii="Verdana" w:hAnsi="Verdana"/>
          <w:sz w:val="22"/>
          <w:szCs w:val="22"/>
        </w:rPr>
        <w:t>Da un punto di vista generale d</w:t>
      </w:r>
      <w:r w:rsidR="004B6160">
        <w:rPr>
          <w:rFonts w:ascii="Verdana" w:hAnsi="Verdana"/>
          <w:sz w:val="22"/>
          <w:szCs w:val="22"/>
        </w:rPr>
        <w:t>al mercato del lavoro restano ancora fuori una parte di contra</w:t>
      </w:r>
      <w:r>
        <w:rPr>
          <w:rFonts w:ascii="Verdana" w:hAnsi="Verdana"/>
          <w:sz w:val="22"/>
          <w:szCs w:val="22"/>
        </w:rPr>
        <w:t>t</w:t>
      </w:r>
      <w:r w:rsidR="004B6160">
        <w:rPr>
          <w:rFonts w:ascii="Verdana" w:hAnsi="Verdana"/>
          <w:sz w:val="22"/>
          <w:szCs w:val="22"/>
        </w:rPr>
        <w:t>ti a tempo indeterminato, di donne e di giovani</w:t>
      </w:r>
      <w:r w:rsidR="00263BC7">
        <w:rPr>
          <w:rFonts w:ascii="Verdana" w:hAnsi="Verdana"/>
          <w:sz w:val="22"/>
          <w:szCs w:val="22"/>
        </w:rPr>
        <w:t>.</w:t>
      </w:r>
    </w:p>
    <w:p w14:paraId="209BD463" w14:textId="473FF061" w:rsidR="00FE7100" w:rsidRDefault="00AC5A97" w:rsidP="00FE7100">
      <w:pPr>
        <w:spacing w:line="360" w:lineRule="auto"/>
        <w:jc w:val="both"/>
        <w:rPr>
          <w:rFonts w:ascii="Verdana" w:hAnsi="Verdana"/>
          <w:sz w:val="22"/>
          <w:szCs w:val="22"/>
        </w:rPr>
      </w:pPr>
      <w:r>
        <w:rPr>
          <w:rFonts w:ascii="Verdana" w:hAnsi="Verdana"/>
          <w:sz w:val="22"/>
          <w:szCs w:val="22"/>
        </w:rPr>
        <w:t xml:space="preserve">In termini di </w:t>
      </w:r>
      <w:r w:rsidR="00FE7100" w:rsidRPr="00DD0C6A">
        <w:rPr>
          <w:rFonts w:ascii="Verdana" w:hAnsi="Verdana"/>
          <w:sz w:val="22"/>
          <w:szCs w:val="22"/>
        </w:rPr>
        <w:t>produttività</w:t>
      </w:r>
      <w:r w:rsidR="00FE7100" w:rsidRPr="00DD0C6A">
        <w:rPr>
          <w:rStyle w:val="Rimandonotaapidipagina"/>
          <w:rFonts w:ascii="Verdana" w:hAnsi="Verdana"/>
          <w:sz w:val="22"/>
          <w:szCs w:val="22"/>
        </w:rPr>
        <w:footnoteReference w:id="1"/>
      </w:r>
      <w:r w:rsidR="00FE7100" w:rsidRPr="00DD0C6A">
        <w:rPr>
          <w:rFonts w:ascii="Verdana" w:hAnsi="Verdana"/>
          <w:sz w:val="22"/>
          <w:szCs w:val="22"/>
        </w:rPr>
        <w:t xml:space="preserve"> </w:t>
      </w:r>
      <w:r>
        <w:rPr>
          <w:rFonts w:ascii="Verdana" w:hAnsi="Verdana"/>
          <w:sz w:val="22"/>
          <w:szCs w:val="22"/>
        </w:rPr>
        <w:t xml:space="preserve">si registra un incremento di tre punti percentuali sul 2021 tornando ai livelli </w:t>
      </w:r>
      <w:proofErr w:type="spellStart"/>
      <w:r>
        <w:rPr>
          <w:rFonts w:ascii="Verdana" w:hAnsi="Verdana"/>
          <w:sz w:val="22"/>
          <w:szCs w:val="22"/>
        </w:rPr>
        <w:t>pre</w:t>
      </w:r>
      <w:proofErr w:type="spellEnd"/>
      <w:r>
        <w:rPr>
          <w:rFonts w:ascii="Verdana" w:hAnsi="Verdana"/>
          <w:sz w:val="22"/>
          <w:szCs w:val="22"/>
        </w:rPr>
        <w:t>-pandemia.</w:t>
      </w:r>
      <w:r w:rsidR="00FE7100" w:rsidRPr="00DD0C6A">
        <w:rPr>
          <w:rFonts w:ascii="Verdana" w:hAnsi="Verdana"/>
          <w:sz w:val="22"/>
          <w:szCs w:val="22"/>
        </w:rPr>
        <w:t xml:space="preserve"> </w:t>
      </w:r>
    </w:p>
    <w:p w14:paraId="7AF584C3" w14:textId="7B7CED84" w:rsidR="004B6160" w:rsidRDefault="004B6160" w:rsidP="00FE7100">
      <w:pPr>
        <w:spacing w:line="360" w:lineRule="auto"/>
        <w:jc w:val="both"/>
        <w:rPr>
          <w:rFonts w:ascii="Verdana" w:hAnsi="Verdana"/>
          <w:sz w:val="22"/>
          <w:szCs w:val="22"/>
        </w:rPr>
      </w:pPr>
    </w:p>
    <w:p w14:paraId="02B0E222" w14:textId="77777777" w:rsidR="003632E7" w:rsidRDefault="003632E7" w:rsidP="00FE7100">
      <w:pPr>
        <w:spacing w:line="360" w:lineRule="auto"/>
        <w:jc w:val="both"/>
        <w:rPr>
          <w:rFonts w:ascii="Verdana" w:hAnsi="Verdana"/>
          <w:sz w:val="22"/>
          <w:szCs w:val="22"/>
        </w:rPr>
      </w:pPr>
    </w:p>
    <w:p w14:paraId="7623B251" w14:textId="527CD1D3" w:rsidR="00A76B3B" w:rsidRDefault="00A76B3B" w:rsidP="00FE7100">
      <w:pPr>
        <w:spacing w:line="360" w:lineRule="auto"/>
        <w:jc w:val="both"/>
        <w:rPr>
          <w:rFonts w:ascii="Verdana" w:hAnsi="Verdana"/>
          <w:sz w:val="22"/>
          <w:szCs w:val="22"/>
        </w:rPr>
      </w:pPr>
    </w:p>
    <w:p w14:paraId="198A63FF" w14:textId="6D2AE708" w:rsidR="00A76B3B" w:rsidRDefault="00A76B3B" w:rsidP="00FE7100">
      <w:pPr>
        <w:spacing w:line="360" w:lineRule="auto"/>
        <w:jc w:val="both"/>
        <w:rPr>
          <w:rFonts w:ascii="Verdana" w:hAnsi="Verdana"/>
          <w:sz w:val="22"/>
          <w:szCs w:val="22"/>
        </w:rPr>
      </w:pPr>
    </w:p>
    <w:p w14:paraId="0AD29941" w14:textId="122AB732" w:rsidR="0059471D" w:rsidRPr="00D63429" w:rsidRDefault="0059471D" w:rsidP="0059471D">
      <w:pPr>
        <w:jc w:val="center"/>
        <w:rPr>
          <w:rFonts w:ascii="Arial" w:hAnsi="Arial" w:cs="Arial"/>
          <w:b/>
          <w:color w:val="003F7E"/>
          <w:sz w:val="20"/>
          <w:szCs w:val="22"/>
        </w:rPr>
      </w:pPr>
      <w:r w:rsidRPr="00D63429">
        <w:rPr>
          <w:rFonts w:ascii="Arial" w:hAnsi="Arial" w:cs="Arial"/>
          <w:b/>
          <w:bCs/>
          <w:color w:val="003F7E"/>
          <w:sz w:val="20"/>
          <w:szCs w:val="22"/>
        </w:rPr>
        <w:t>Dinamica della produttività nella ristorazione</w:t>
      </w:r>
    </w:p>
    <w:p w14:paraId="1CB495B7" w14:textId="77777777" w:rsidR="00090BC0" w:rsidRDefault="00090BC0" w:rsidP="00090BC0">
      <w:pPr>
        <w:jc w:val="center"/>
        <w:rPr>
          <w:rFonts w:ascii="Arial" w:hAnsi="Arial" w:cs="Arial"/>
          <w:color w:val="003F7E"/>
          <w:sz w:val="16"/>
        </w:rPr>
      </w:pPr>
      <w:r w:rsidRPr="00D63429">
        <w:rPr>
          <w:rFonts w:ascii="Arial" w:hAnsi="Arial" w:cs="Arial"/>
          <w:color w:val="003F7E"/>
          <w:sz w:val="16"/>
        </w:rPr>
        <w:lastRenderedPageBreak/>
        <w:t xml:space="preserve">(valore aggiunto per </w:t>
      </w:r>
      <w:r>
        <w:rPr>
          <w:rFonts w:ascii="Arial" w:hAnsi="Arial" w:cs="Arial"/>
          <w:color w:val="003F7E"/>
          <w:sz w:val="16"/>
        </w:rPr>
        <w:t>unità di lavoro</w:t>
      </w:r>
      <w:r w:rsidRPr="00D63429">
        <w:rPr>
          <w:rFonts w:ascii="Arial" w:hAnsi="Arial" w:cs="Arial"/>
          <w:color w:val="003F7E"/>
          <w:sz w:val="16"/>
        </w:rPr>
        <w:t xml:space="preserve"> - N.I. 2008=100)</w:t>
      </w:r>
    </w:p>
    <w:p w14:paraId="56E0405B" w14:textId="77777777" w:rsidR="00090BC0" w:rsidRDefault="00090BC0" w:rsidP="00090BC0">
      <w:pPr>
        <w:spacing w:line="360" w:lineRule="auto"/>
        <w:jc w:val="center"/>
        <w:rPr>
          <w:rStyle w:val="Titolo2Carattere"/>
          <w:rFonts w:ascii="Garamond" w:eastAsiaTheme="minorHAnsi" w:hAnsi="Garamond"/>
          <w:i w:val="0"/>
          <w:iCs w:val="0"/>
          <w:sz w:val="32"/>
        </w:rPr>
      </w:pPr>
      <w:r>
        <w:rPr>
          <w:noProof/>
        </w:rPr>
        <w:drawing>
          <wp:inline distT="0" distB="0" distL="0" distR="0" wp14:anchorId="69741F1C" wp14:editId="34637569">
            <wp:extent cx="4839656" cy="2252928"/>
            <wp:effectExtent l="0" t="0" r="18415" b="14605"/>
            <wp:docPr id="33" name="Grafico 33">
              <a:extLst xmlns:a="http://schemas.openxmlformats.org/drawingml/2006/main">
                <a:ext uri="{FF2B5EF4-FFF2-40B4-BE49-F238E27FC236}">
                  <a16:creationId xmlns:a16="http://schemas.microsoft.com/office/drawing/2014/main" id="{DD836118-CFAF-42AE-9AA9-175B115353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11C9B5" w14:textId="77777777" w:rsidR="00090BC0" w:rsidRDefault="00090BC0" w:rsidP="00090BC0">
      <w:pPr>
        <w:spacing w:line="360" w:lineRule="auto"/>
        <w:ind w:firstLine="993"/>
        <w:rPr>
          <w:rFonts w:ascii="Arial" w:hAnsi="Arial" w:cs="Arial"/>
          <w:color w:val="003F7E"/>
          <w:sz w:val="16"/>
          <w:szCs w:val="18"/>
        </w:rPr>
      </w:pPr>
      <w:r w:rsidRPr="00D63429">
        <w:rPr>
          <w:rFonts w:ascii="Arial" w:hAnsi="Arial" w:cs="Arial"/>
          <w:color w:val="003F7E"/>
          <w:sz w:val="16"/>
          <w:szCs w:val="18"/>
        </w:rPr>
        <w:t>Fonte: stima Fipe su dati di contabilità nazionale</w:t>
      </w:r>
    </w:p>
    <w:p w14:paraId="77117799" w14:textId="7317DC62" w:rsidR="00E70684" w:rsidRDefault="00E70684" w:rsidP="00E70684">
      <w:pPr>
        <w:spacing w:line="360" w:lineRule="auto"/>
        <w:jc w:val="center"/>
        <w:rPr>
          <w:rFonts w:ascii="Garamond" w:hAnsi="Garamond"/>
          <w:b/>
          <w:color w:val="003F7E"/>
        </w:rPr>
      </w:pPr>
      <w:r w:rsidRPr="00B5707D">
        <w:rPr>
          <w:rFonts w:ascii="Garamond" w:hAnsi="Garamond"/>
          <w:b/>
          <w:color w:val="003F7E"/>
        </w:rPr>
        <w:t>* * *</w:t>
      </w:r>
    </w:p>
    <w:p w14:paraId="42C6D8D1" w14:textId="6C6D1E69" w:rsidR="00AC5A97" w:rsidRDefault="00AC5A97" w:rsidP="00AC5A97">
      <w:pPr>
        <w:autoSpaceDE w:val="0"/>
        <w:autoSpaceDN w:val="0"/>
        <w:adjustRightInd w:val="0"/>
        <w:spacing w:after="120" w:line="360" w:lineRule="auto"/>
        <w:jc w:val="both"/>
      </w:pPr>
      <w:r w:rsidRPr="00677EA9">
        <w:rPr>
          <w:rFonts w:ascii="Verdana" w:hAnsi="Verdana"/>
          <w:sz w:val="22"/>
          <w:szCs w:val="22"/>
        </w:rPr>
        <w:t xml:space="preserve">I consumi delle famiglie nel 2022 hanno fatto un deciso balzo in avanti per avvicinarsi ai livelli </w:t>
      </w:r>
      <w:proofErr w:type="spellStart"/>
      <w:r w:rsidRPr="00677EA9">
        <w:rPr>
          <w:rFonts w:ascii="Verdana" w:hAnsi="Verdana"/>
          <w:sz w:val="22"/>
          <w:szCs w:val="22"/>
        </w:rPr>
        <w:t>pre</w:t>
      </w:r>
      <w:proofErr w:type="spellEnd"/>
      <w:r w:rsidRPr="00677EA9">
        <w:rPr>
          <w:rFonts w:ascii="Verdana" w:hAnsi="Verdana"/>
          <w:sz w:val="22"/>
          <w:szCs w:val="22"/>
        </w:rPr>
        <w:t>-pandemia</w:t>
      </w:r>
      <w:r>
        <w:rPr>
          <w:rFonts w:ascii="Verdana" w:hAnsi="Verdana"/>
          <w:sz w:val="22"/>
          <w:szCs w:val="22"/>
        </w:rPr>
        <w:t>. I</w:t>
      </w:r>
      <w:r w:rsidRPr="00677EA9">
        <w:rPr>
          <w:rFonts w:ascii="Verdana" w:hAnsi="Verdana"/>
          <w:sz w:val="22"/>
          <w:szCs w:val="22"/>
        </w:rPr>
        <w:t>l 2022 non chiude ancora</w:t>
      </w:r>
      <w:r>
        <w:rPr>
          <w:rFonts w:ascii="Verdana" w:hAnsi="Verdana"/>
          <w:sz w:val="22"/>
          <w:szCs w:val="22"/>
        </w:rPr>
        <w:t>,</w:t>
      </w:r>
      <w:r w:rsidRPr="00677EA9">
        <w:rPr>
          <w:rFonts w:ascii="Verdana" w:hAnsi="Verdana"/>
          <w:sz w:val="22"/>
          <w:szCs w:val="22"/>
        </w:rPr>
        <w:t xml:space="preserve"> tuttavia</w:t>
      </w:r>
      <w:r>
        <w:rPr>
          <w:rFonts w:ascii="Verdana" w:hAnsi="Verdana"/>
          <w:sz w:val="22"/>
          <w:szCs w:val="22"/>
        </w:rPr>
        <w:t>,</w:t>
      </w:r>
      <w:r w:rsidRPr="00677EA9">
        <w:rPr>
          <w:rFonts w:ascii="Verdana" w:hAnsi="Verdana"/>
          <w:sz w:val="22"/>
          <w:szCs w:val="22"/>
        </w:rPr>
        <w:t xml:space="preserve"> la forbice</w:t>
      </w:r>
      <w:r>
        <w:rPr>
          <w:rFonts w:ascii="Verdana" w:hAnsi="Verdana"/>
          <w:sz w:val="22"/>
          <w:szCs w:val="22"/>
        </w:rPr>
        <w:t>, allargatasi durante la pandemia,</w:t>
      </w:r>
      <w:r w:rsidRPr="00677EA9">
        <w:rPr>
          <w:rFonts w:ascii="Verdana" w:hAnsi="Verdana"/>
          <w:sz w:val="22"/>
          <w:szCs w:val="22"/>
        </w:rPr>
        <w:t xml:space="preserve"> tra l’andamento dei consumi di beni e quello di servizi. Mentre i primi sono al di sopra dei livelli </w:t>
      </w:r>
      <w:r>
        <w:rPr>
          <w:rFonts w:ascii="Verdana" w:hAnsi="Verdana"/>
          <w:sz w:val="22"/>
          <w:szCs w:val="22"/>
        </w:rPr>
        <w:t>del</w:t>
      </w:r>
      <w:r w:rsidRPr="00677EA9">
        <w:rPr>
          <w:rFonts w:ascii="Verdana" w:hAnsi="Verdana"/>
          <w:sz w:val="22"/>
          <w:szCs w:val="22"/>
        </w:rPr>
        <w:t xml:space="preserve"> 2019 (+1,4%), i secondi restano ancora sotto per circa cinque punti percentuali. </w:t>
      </w:r>
      <w:r>
        <w:rPr>
          <w:rFonts w:ascii="Verdana" w:hAnsi="Verdana"/>
          <w:sz w:val="22"/>
          <w:szCs w:val="22"/>
        </w:rPr>
        <w:t>A livello di singoli capitoli di spesa</w:t>
      </w:r>
      <w:r w:rsidRPr="00677EA9">
        <w:rPr>
          <w:rFonts w:ascii="Verdana" w:hAnsi="Verdana"/>
          <w:sz w:val="22"/>
          <w:szCs w:val="22"/>
        </w:rPr>
        <w:t xml:space="preserve">, se i consumi alimentari in casa, dopo il forte incremento del periodo pandemico, sono tornati a livelli più coerenti con le consuete abitudini di consumo degli italiani, quelli fuori casa hanno proseguito il percorso di crescita per </w:t>
      </w:r>
      <w:r>
        <w:rPr>
          <w:rFonts w:ascii="Verdana" w:hAnsi="Verdana"/>
          <w:sz w:val="22"/>
          <w:szCs w:val="22"/>
        </w:rPr>
        <w:t>tornare</w:t>
      </w:r>
      <w:r w:rsidRPr="00677EA9">
        <w:rPr>
          <w:rFonts w:ascii="Verdana" w:hAnsi="Verdana"/>
          <w:sz w:val="22"/>
          <w:szCs w:val="22"/>
        </w:rPr>
        <w:t xml:space="preserve"> </w:t>
      </w:r>
      <w:r>
        <w:rPr>
          <w:rFonts w:ascii="Verdana" w:hAnsi="Verdana"/>
          <w:sz w:val="22"/>
          <w:szCs w:val="22"/>
        </w:rPr>
        <w:t>a</w:t>
      </w:r>
      <w:r w:rsidRPr="00677EA9">
        <w:rPr>
          <w:rFonts w:ascii="Verdana" w:hAnsi="Verdana"/>
          <w:sz w:val="22"/>
          <w:szCs w:val="22"/>
        </w:rPr>
        <w:t xml:space="preserve">i livelli </w:t>
      </w:r>
      <w:proofErr w:type="spellStart"/>
      <w:r w:rsidRPr="00677EA9">
        <w:rPr>
          <w:rFonts w:ascii="Verdana" w:hAnsi="Verdana"/>
          <w:sz w:val="22"/>
          <w:szCs w:val="22"/>
        </w:rPr>
        <w:t>pre</w:t>
      </w:r>
      <w:proofErr w:type="spellEnd"/>
      <w:r w:rsidRPr="00677EA9">
        <w:rPr>
          <w:rFonts w:ascii="Verdana" w:hAnsi="Verdana"/>
          <w:sz w:val="22"/>
          <w:szCs w:val="22"/>
        </w:rPr>
        <w:t>-pandemici anche se restano ancora sotto per almeno</w:t>
      </w:r>
      <w:r>
        <w:rPr>
          <w:rFonts w:ascii="Verdana" w:hAnsi="Verdana"/>
          <w:sz w:val="22"/>
          <w:szCs w:val="22"/>
        </w:rPr>
        <w:t xml:space="preserve"> </w:t>
      </w:r>
      <w:r w:rsidRPr="00677EA9">
        <w:rPr>
          <w:rFonts w:ascii="Verdana" w:hAnsi="Verdana"/>
          <w:sz w:val="22"/>
          <w:szCs w:val="22"/>
        </w:rPr>
        <w:t>3/4 punti percentuali.</w:t>
      </w:r>
      <w:r w:rsidRPr="00677EA9">
        <w:t xml:space="preserve"> </w:t>
      </w:r>
    </w:p>
    <w:p w14:paraId="6178ADE1" w14:textId="6DB349FF" w:rsidR="00AC5A97" w:rsidRPr="00677EA9" w:rsidRDefault="00AC5A97" w:rsidP="00AC5A97">
      <w:pPr>
        <w:autoSpaceDE w:val="0"/>
        <w:autoSpaceDN w:val="0"/>
        <w:adjustRightInd w:val="0"/>
        <w:jc w:val="both"/>
        <w:rPr>
          <w:rFonts w:asciiTheme="minorHAnsi" w:hAnsiTheme="minorHAnsi" w:cstheme="minorHAnsi"/>
          <w:b/>
          <w:bCs/>
          <w:sz w:val="22"/>
          <w:szCs w:val="22"/>
        </w:rPr>
      </w:pPr>
      <w:r w:rsidRPr="00150EF3">
        <w:rPr>
          <w:rFonts w:ascii="Arial" w:hAnsi="Arial" w:cs="Arial"/>
          <w:b/>
          <w:color w:val="003F7E"/>
          <w:sz w:val="20"/>
          <w:szCs w:val="18"/>
        </w:rPr>
        <w:t>Consumi delle famiglie</w:t>
      </w:r>
    </w:p>
    <w:p w14:paraId="6DB3766A" w14:textId="77777777" w:rsidR="00AC5A97" w:rsidRPr="00677EA9" w:rsidRDefault="00AC5A97" w:rsidP="00AC5A97">
      <w:pPr>
        <w:autoSpaceDE w:val="0"/>
        <w:autoSpaceDN w:val="0"/>
        <w:adjustRightInd w:val="0"/>
        <w:jc w:val="both"/>
        <w:rPr>
          <w:rFonts w:asciiTheme="minorHAnsi" w:hAnsiTheme="minorHAnsi" w:cstheme="minorHAnsi"/>
          <w:sz w:val="22"/>
          <w:szCs w:val="22"/>
        </w:rPr>
      </w:pPr>
      <w:r w:rsidRPr="00677EA9">
        <w:rPr>
          <w:rFonts w:asciiTheme="minorHAnsi" w:hAnsiTheme="minorHAnsi" w:cstheme="minorHAnsi"/>
          <w:sz w:val="22"/>
          <w:szCs w:val="22"/>
        </w:rPr>
        <w:t>(mln. di euro – valori concatenati)</w:t>
      </w:r>
    </w:p>
    <w:tbl>
      <w:tblPr>
        <w:tblStyle w:val="Tabellagriglia5scura-colore5"/>
        <w:tblW w:w="8441" w:type="dxa"/>
        <w:tblLook w:val="0420" w:firstRow="1" w:lastRow="0" w:firstColumn="0" w:lastColumn="0" w:noHBand="0" w:noVBand="1"/>
      </w:tblPr>
      <w:tblGrid>
        <w:gridCol w:w="4277"/>
        <w:gridCol w:w="1062"/>
        <w:gridCol w:w="1020"/>
        <w:gridCol w:w="1020"/>
        <w:gridCol w:w="1062"/>
      </w:tblGrid>
      <w:tr w:rsidR="00AC5A97" w:rsidRPr="00CC07BB" w14:paraId="6EA6290C" w14:textId="77777777" w:rsidTr="00A24EA4">
        <w:trPr>
          <w:cnfStyle w:val="100000000000" w:firstRow="1" w:lastRow="0" w:firstColumn="0" w:lastColumn="0" w:oddVBand="0" w:evenVBand="0" w:oddHBand="0" w:evenHBand="0" w:firstRowFirstColumn="0" w:firstRowLastColumn="0" w:lastRowFirstColumn="0" w:lastRowLastColumn="0"/>
          <w:trHeight w:val="330"/>
        </w:trPr>
        <w:tc>
          <w:tcPr>
            <w:tcW w:w="4277" w:type="dxa"/>
            <w:hideMark/>
          </w:tcPr>
          <w:p w14:paraId="18D2AD02" w14:textId="77777777" w:rsidR="00AC5A97" w:rsidRPr="00CC07BB" w:rsidRDefault="00AC5A97" w:rsidP="00A24EA4">
            <w:pPr>
              <w:jc w:val="right"/>
              <w:rPr>
                <w:rFonts w:ascii="Verdana" w:hAnsi="Verdana" w:cs="Arial"/>
                <w:b w:val="0"/>
                <w:bCs w:val="0"/>
                <w:color w:val="FFFFFF"/>
                <w:sz w:val="16"/>
                <w:szCs w:val="16"/>
              </w:rPr>
            </w:pPr>
            <w:r w:rsidRPr="00CC07BB">
              <w:rPr>
                <w:rFonts w:ascii="Verdana" w:hAnsi="Verdana" w:cs="Arial"/>
                <w:color w:val="FFFFFF"/>
                <w:sz w:val="16"/>
                <w:szCs w:val="16"/>
              </w:rPr>
              <w:t> </w:t>
            </w:r>
          </w:p>
        </w:tc>
        <w:tc>
          <w:tcPr>
            <w:tcW w:w="1062" w:type="dxa"/>
            <w:hideMark/>
          </w:tcPr>
          <w:p w14:paraId="6543D9CD" w14:textId="77777777" w:rsidR="00AC5A97" w:rsidRPr="00CC07BB" w:rsidRDefault="00AC5A97" w:rsidP="00A24EA4">
            <w:pPr>
              <w:jc w:val="center"/>
              <w:rPr>
                <w:rFonts w:ascii="Verdana" w:hAnsi="Verdana" w:cs="Arial"/>
                <w:b w:val="0"/>
                <w:bCs w:val="0"/>
              </w:rPr>
            </w:pPr>
            <w:r w:rsidRPr="00CC07BB">
              <w:rPr>
                <w:rFonts w:ascii="Verdana" w:hAnsi="Verdana" w:cs="Arial"/>
                <w:vertAlign w:val="superscript"/>
              </w:rPr>
              <w:t>2019</w:t>
            </w:r>
          </w:p>
        </w:tc>
        <w:tc>
          <w:tcPr>
            <w:tcW w:w="1020" w:type="dxa"/>
            <w:hideMark/>
          </w:tcPr>
          <w:p w14:paraId="77077086" w14:textId="77777777" w:rsidR="00AC5A97" w:rsidRPr="00CC07BB" w:rsidRDefault="00AC5A97" w:rsidP="00A24EA4">
            <w:pPr>
              <w:jc w:val="center"/>
              <w:rPr>
                <w:rFonts w:ascii="Verdana" w:hAnsi="Verdana" w:cs="Arial"/>
                <w:b w:val="0"/>
                <w:bCs w:val="0"/>
              </w:rPr>
            </w:pPr>
            <w:r w:rsidRPr="00CC07BB">
              <w:rPr>
                <w:rFonts w:ascii="Verdana" w:hAnsi="Verdana" w:cs="Arial"/>
                <w:vertAlign w:val="superscript"/>
              </w:rPr>
              <w:t>2020</w:t>
            </w:r>
          </w:p>
        </w:tc>
        <w:tc>
          <w:tcPr>
            <w:tcW w:w="1020" w:type="dxa"/>
            <w:hideMark/>
          </w:tcPr>
          <w:p w14:paraId="7374C9D3" w14:textId="77777777" w:rsidR="00AC5A97" w:rsidRPr="00CC07BB" w:rsidRDefault="00AC5A97" w:rsidP="00A24EA4">
            <w:pPr>
              <w:jc w:val="center"/>
              <w:rPr>
                <w:rFonts w:ascii="Verdana" w:hAnsi="Verdana" w:cs="Arial"/>
                <w:b w:val="0"/>
                <w:bCs w:val="0"/>
              </w:rPr>
            </w:pPr>
            <w:r w:rsidRPr="00CC07BB">
              <w:rPr>
                <w:rFonts w:ascii="Verdana" w:hAnsi="Verdana" w:cs="Arial"/>
                <w:vertAlign w:val="superscript"/>
              </w:rPr>
              <w:t>2021</w:t>
            </w:r>
          </w:p>
        </w:tc>
        <w:tc>
          <w:tcPr>
            <w:tcW w:w="1062" w:type="dxa"/>
            <w:hideMark/>
          </w:tcPr>
          <w:p w14:paraId="626F9B50" w14:textId="77777777" w:rsidR="00AC5A97" w:rsidRPr="00CC07BB" w:rsidRDefault="00AC5A97" w:rsidP="00A24EA4">
            <w:pPr>
              <w:jc w:val="center"/>
              <w:rPr>
                <w:rFonts w:ascii="Verdana" w:hAnsi="Verdana" w:cs="Arial"/>
                <w:b w:val="0"/>
                <w:bCs w:val="0"/>
              </w:rPr>
            </w:pPr>
            <w:r w:rsidRPr="00CC07BB">
              <w:rPr>
                <w:rFonts w:ascii="Verdana" w:hAnsi="Verdana" w:cs="Arial"/>
                <w:vertAlign w:val="superscript"/>
              </w:rPr>
              <w:t>2022</w:t>
            </w:r>
          </w:p>
        </w:tc>
      </w:tr>
      <w:tr w:rsidR="00AC5A97" w:rsidRPr="00CC07BB" w14:paraId="728F427E" w14:textId="77777777" w:rsidTr="00A24EA4">
        <w:trPr>
          <w:cnfStyle w:val="000000100000" w:firstRow="0" w:lastRow="0" w:firstColumn="0" w:lastColumn="0" w:oddVBand="0" w:evenVBand="0" w:oddHBand="1" w:evenHBand="0" w:firstRowFirstColumn="0" w:firstRowLastColumn="0" w:lastRowFirstColumn="0" w:lastRowLastColumn="0"/>
          <w:trHeight w:val="255"/>
        </w:trPr>
        <w:tc>
          <w:tcPr>
            <w:tcW w:w="4277" w:type="dxa"/>
            <w:hideMark/>
          </w:tcPr>
          <w:p w14:paraId="77819B28" w14:textId="77777777" w:rsidR="00AC5A97" w:rsidRPr="00CC07BB" w:rsidRDefault="00AC5A97" w:rsidP="00A24EA4">
            <w:pPr>
              <w:rPr>
                <w:rFonts w:ascii="Verdana" w:hAnsi="Verdana" w:cs="Arial"/>
                <w:sz w:val="16"/>
                <w:szCs w:val="16"/>
              </w:rPr>
            </w:pPr>
            <w:r w:rsidRPr="00CC07BB">
              <w:rPr>
                <w:rFonts w:ascii="Verdana" w:hAnsi="Verdana" w:cs="Arial"/>
                <w:sz w:val="16"/>
                <w:szCs w:val="16"/>
              </w:rPr>
              <w:t>alimentari e bevande non alcoliche</w:t>
            </w:r>
          </w:p>
        </w:tc>
        <w:tc>
          <w:tcPr>
            <w:tcW w:w="1062" w:type="dxa"/>
            <w:noWrap/>
            <w:hideMark/>
          </w:tcPr>
          <w:p w14:paraId="422A39A7"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149.296,6 </w:t>
            </w:r>
          </w:p>
        </w:tc>
        <w:tc>
          <w:tcPr>
            <w:tcW w:w="1020" w:type="dxa"/>
            <w:noWrap/>
            <w:hideMark/>
          </w:tcPr>
          <w:p w14:paraId="68F299B3"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150.730,2 </w:t>
            </w:r>
          </w:p>
        </w:tc>
        <w:tc>
          <w:tcPr>
            <w:tcW w:w="1020" w:type="dxa"/>
            <w:noWrap/>
            <w:hideMark/>
          </w:tcPr>
          <w:p w14:paraId="3DFF66A8"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150.860,0 </w:t>
            </w:r>
          </w:p>
        </w:tc>
        <w:tc>
          <w:tcPr>
            <w:tcW w:w="1062" w:type="dxa"/>
            <w:noWrap/>
            <w:hideMark/>
          </w:tcPr>
          <w:p w14:paraId="0A1213D3"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145.221,8 </w:t>
            </w:r>
          </w:p>
        </w:tc>
      </w:tr>
      <w:tr w:rsidR="00AC5A97" w:rsidRPr="00CC07BB" w14:paraId="576E6759" w14:textId="77777777" w:rsidTr="00A24EA4">
        <w:trPr>
          <w:trHeight w:val="255"/>
        </w:trPr>
        <w:tc>
          <w:tcPr>
            <w:tcW w:w="4277" w:type="dxa"/>
            <w:hideMark/>
          </w:tcPr>
          <w:p w14:paraId="7CF6C87E" w14:textId="77777777" w:rsidR="00AC5A97" w:rsidRPr="00CC07BB" w:rsidRDefault="00AC5A97" w:rsidP="00A24EA4">
            <w:pPr>
              <w:rPr>
                <w:rFonts w:ascii="Verdana" w:hAnsi="Verdana" w:cs="Arial"/>
                <w:sz w:val="16"/>
                <w:szCs w:val="16"/>
              </w:rPr>
            </w:pPr>
            <w:r w:rsidRPr="00CC07BB">
              <w:rPr>
                <w:rFonts w:ascii="Verdana" w:hAnsi="Verdana" w:cs="Arial"/>
                <w:sz w:val="16"/>
                <w:szCs w:val="16"/>
              </w:rPr>
              <w:t>bevande alcoliche, tabacco,</w:t>
            </w:r>
            <w:r>
              <w:rPr>
                <w:rFonts w:ascii="Verdana" w:hAnsi="Verdana" w:cs="Arial"/>
                <w:sz w:val="16"/>
                <w:szCs w:val="16"/>
              </w:rPr>
              <w:t xml:space="preserve"> </w:t>
            </w:r>
            <w:r w:rsidRPr="00CC07BB">
              <w:rPr>
                <w:rFonts w:ascii="Verdana" w:hAnsi="Verdana" w:cs="Arial"/>
                <w:sz w:val="16"/>
                <w:szCs w:val="16"/>
              </w:rPr>
              <w:t>narcotici</w:t>
            </w:r>
          </w:p>
        </w:tc>
        <w:tc>
          <w:tcPr>
            <w:tcW w:w="1062" w:type="dxa"/>
            <w:noWrap/>
            <w:hideMark/>
          </w:tcPr>
          <w:p w14:paraId="22767932"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42.961,3 </w:t>
            </w:r>
          </w:p>
        </w:tc>
        <w:tc>
          <w:tcPr>
            <w:tcW w:w="1020" w:type="dxa"/>
            <w:noWrap/>
            <w:hideMark/>
          </w:tcPr>
          <w:p w14:paraId="36142A89"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40.671,6 </w:t>
            </w:r>
          </w:p>
        </w:tc>
        <w:tc>
          <w:tcPr>
            <w:tcW w:w="1020" w:type="dxa"/>
            <w:noWrap/>
            <w:hideMark/>
          </w:tcPr>
          <w:p w14:paraId="3EB0AC87"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42.246,4 </w:t>
            </w:r>
          </w:p>
        </w:tc>
        <w:tc>
          <w:tcPr>
            <w:tcW w:w="1062" w:type="dxa"/>
            <w:noWrap/>
            <w:hideMark/>
          </w:tcPr>
          <w:p w14:paraId="1AD779F5"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42.685,0 </w:t>
            </w:r>
          </w:p>
        </w:tc>
      </w:tr>
      <w:tr w:rsidR="00AC5A97" w:rsidRPr="00CC07BB" w14:paraId="7D981B79" w14:textId="77777777" w:rsidTr="00A24EA4">
        <w:trPr>
          <w:cnfStyle w:val="000000100000" w:firstRow="0" w:lastRow="0" w:firstColumn="0" w:lastColumn="0" w:oddVBand="0" w:evenVBand="0" w:oddHBand="1" w:evenHBand="0" w:firstRowFirstColumn="0" w:firstRowLastColumn="0" w:lastRowFirstColumn="0" w:lastRowLastColumn="0"/>
          <w:trHeight w:val="255"/>
        </w:trPr>
        <w:tc>
          <w:tcPr>
            <w:tcW w:w="4277" w:type="dxa"/>
            <w:hideMark/>
          </w:tcPr>
          <w:p w14:paraId="417F95C7" w14:textId="77777777" w:rsidR="00AC5A97" w:rsidRPr="00CC07BB" w:rsidRDefault="00AC5A97" w:rsidP="00A24EA4">
            <w:pPr>
              <w:rPr>
                <w:rFonts w:ascii="Verdana" w:hAnsi="Verdana" w:cs="Arial"/>
                <w:sz w:val="16"/>
                <w:szCs w:val="16"/>
              </w:rPr>
            </w:pPr>
            <w:r w:rsidRPr="00CC07BB">
              <w:rPr>
                <w:rFonts w:ascii="Verdana" w:hAnsi="Verdana" w:cs="Arial"/>
                <w:sz w:val="16"/>
                <w:szCs w:val="16"/>
              </w:rPr>
              <w:t>vestiario e calzature</w:t>
            </w:r>
          </w:p>
        </w:tc>
        <w:tc>
          <w:tcPr>
            <w:tcW w:w="1062" w:type="dxa"/>
            <w:noWrap/>
            <w:hideMark/>
          </w:tcPr>
          <w:p w14:paraId="56A1C1F7"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64.077,0 </w:t>
            </w:r>
          </w:p>
        </w:tc>
        <w:tc>
          <w:tcPr>
            <w:tcW w:w="1020" w:type="dxa"/>
            <w:noWrap/>
            <w:hideMark/>
          </w:tcPr>
          <w:p w14:paraId="169B164C"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50.294,3 </w:t>
            </w:r>
          </w:p>
        </w:tc>
        <w:tc>
          <w:tcPr>
            <w:tcW w:w="1020" w:type="dxa"/>
            <w:noWrap/>
            <w:hideMark/>
          </w:tcPr>
          <w:p w14:paraId="56B314DC"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53.889,5 </w:t>
            </w:r>
          </w:p>
        </w:tc>
        <w:tc>
          <w:tcPr>
            <w:tcW w:w="1062" w:type="dxa"/>
            <w:noWrap/>
            <w:hideMark/>
          </w:tcPr>
          <w:p w14:paraId="2F341F0E"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61.880,3 </w:t>
            </w:r>
          </w:p>
        </w:tc>
      </w:tr>
      <w:tr w:rsidR="00AC5A97" w:rsidRPr="00CC07BB" w14:paraId="4AA5BD3C" w14:textId="77777777" w:rsidTr="00A24EA4">
        <w:trPr>
          <w:trHeight w:val="390"/>
        </w:trPr>
        <w:tc>
          <w:tcPr>
            <w:tcW w:w="4277" w:type="dxa"/>
            <w:hideMark/>
          </w:tcPr>
          <w:p w14:paraId="4F62E46C" w14:textId="77777777" w:rsidR="00AC5A97" w:rsidRPr="00CC07BB" w:rsidRDefault="00AC5A97" w:rsidP="00A24EA4">
            <w:pPr>
              <w:rPr>
                <w:rFonts w:ascii="Verdana" w:hAnsi="Verdana" w:cs="Arial"/>
                <w:sz w:val="16"/>
                <w:szCs w:val="16"/>
              </w:rPr>
            </w:pPr>
            <w:r w:rsidRPr="00CC07BB">
              <w:rPr>
                <w:rFonts w:ascii="Verdana" w:hAnsi="Verdana" w:cs="Arial"/>
                <w:sz w:val="16"/>
                <w:szCs w:val="16"/>
              </w:rPr>
              <w:t>abitazione, acqua, elettricità, gas ed altri combustibili</w:t>
            </w:r>
          </w:p>
        </w:tc>
        <w:tc>
          <w:tcPr>
            <w:tcW w:w="1062" w:type="dxa"/>
            <w:noWrap/>
            <w:hideMark/>
          </w:tcPr>
          <w:p w14:paraId="1FE1D9A1"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239.410,8 </w:t>
            </w:r>
          </w:p>
        </w:tc>
        <w:tc>
          <w:tcPr>
            <w:tcW w:w="1020" w:type="dxa"/>
            <w:noWrap/>
            <w:hideMark/>
          </w:tcPr>
          <w:p w14:paraId="3666B986"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238.884,0 </w:t>
            </w:r>
          </w:p>
        </w:tc>
        <w:tc>
          <w:tcPr>
            <w:tcW w:w="1020" w:type="dxa"/>
            <w:noWrap/>
            <w:hideMark/>
          </w:tcPr>
          <w:p w14:paraId="1DE820D3"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239.651,6 </w:t>
            </w:r>
          </w:p>
        </w:tc>
        <w:tc>
          <w:tcPr>
            <w:tcW w:w="1062" w:type="dxa"/>
            <w:noWrap/>
            <w:hideMark/>
          </w:tcPr>
          <w:p w14:paraId="6D3FFBA4"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242.308,3 </w:t>
            </w:r>
          </w:p>
        </w:tc>
      </w:tr>
      <w:tr w:rsidR="00AC5A97" w:rsidRPr="00CC07BB" w14:paraId="6A944540" w14:textId="77777777" w:rsidTr="00A24EA4">
        <w:trPr>
          <w:cnfStyle w:val="000000100000" w:firstRow="0" w:lastRow="0" w:firstColumn="0" w:lastColumn="0" w:oddVBand="0" w:evenVBand="0" w:oddHBand="1" w:evenHBand="0" w:firstRowFirstColumn="0" w:firstRowLastColumn="0" w:lastRowFirstColumn="0" w:lastRowLastColumn="0"/>
          <w:trHeight w:val="266"/>
        </w:trPr>
        <w:tc>
          <w:tcPr>
            <w:tcW w:w="4277" w:type="dxa"/>
            <w:hideMark/>
          </w:tcPr>
          <w:p w14:paraId="53598DF9" w14:textId="77777777" w:rsidR="00AC5A97" w:rsidRPr="00CC07BB" w:rsidRDefault="00AC5A97" w:rsidP="00A24EA4">
            <w:pPr>
              <w:rPr>
                <w:rFonts w:ascii="Verdana" w:hAnsi="Verdana" w:cs="Arial"/>
                <w:sz w:val="16"/>
                <w:szCs w:val="16"/>
              </w:rPr>
            </w:pPr>
            <w:r w:rsidRPr="00CC07BB">
              <w:rPr>
                <w:rFonts w:ascii="Verdana" w:hAnsi="Verdana" w:cs="Arial"/>
                <w:sz w:val="16"/>
                <w:szCs w:val="16"/>
              </w:rPr>
              <w:t>mobili, elettrodomestici e manutenzione della casa</w:t>
            </w:r>
          </w:p>
        </w:tc>
        <w:tc>
          <w:tcPr>
            <w:tcW w:w="1062" w:type="dxa"/>
            <w:noWrap/>
            <w:hideMark/>
          </w:tcPr>
          <w:p w14:paraId="2DA867DE"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66.004,1 </w:t>
            </w:r>
          </w:p>
        </w:tc>
        <w:tc>
          <w:tcPr>
            <w:tcW w:w="1020" w:type="dxa"/>
            <w:noWrap/>
            <w:hideMark/>
          </w:tcPr>
          <w:p w14:paraId="30A58465"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59.766,3 </w:t>
            </w:r>
          </w:p>
        </w:tc>
        <w:tc>
          <w:tcPr>
            <w:tcW w:w="1020" w:type="dxa"/>
            <w:noWrap/>
            <w:hideMark/>
          </w:tcPr>
          <w:p w14:paraId="58D4DAE0"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66.206,5 </w:t>
            </w:r>
          </w:p>
        </w:tc>
        <w:tc>
          <w:tcPr>
            <w:tcW w:w="1062" w:type="dxa"/>
            <w:noWrap/>
            <w:hideMark/>
          </w:tcPr>
          <w:p w14:paraId="78DDA873"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69.217,5 </w:t>
            </w:r>
          </w:p>
        </w:tc>
      </w:tr>
      <w:tr w:rsidR="00AC5A97" w:rsidRPr="00CC07BB" w14:paraId="7B97C845" w14:textId="77777777" w:rsidTr="00A24EA4">
        <w:trPr>
          <w:trHeight w:val="255"/>
        </w:trPr>
        <w:tc>
          <w:tcPr>
            <w:tcW w:w="4277" w:type="dxa"/>
            <w:hideMark/>
          </w:tcPr>
          <w:p w14:paraId="5531A3A8" w14:textId="77777777" w:rsidR="00AC5A97" w:rsidRPr="00CC07BB" w:rsidRDefault="00AC5A97" w:rsidP="00A24EA4">
            <w:pPr>
              <w:rPr>
                <w:rFonts w:ascii="Verdana" w:hAnsi="Verdana" w:cs="Arial"/>
                <w:sz w:val="16"/>
                <w:szCs w:val="16"/>
              </w:rPr>
            </w:pPr>
            <w:r w:rsidRPr="00CC07BB">
              <w:rPr>
                <w:rFonts w:ascii="Verdana" w:hAnsi="Verdana" w:cs="Arial"/>
                <w:sz w:val="16"/>
                <w:szCs w:val="16"/>
              </w:rPr>
              <w:t>sanità</w:t>
            </w:r>
          </w:p>
        </w:tc>
        <w:tc>
          <w:tcPr>
            <w:tcW w:w="1062" w:type="dxa"/>
            <w:noWrap/>
            <w:hideMark/>
          </w:tcPr>
          <w:p w14:paraId="6C604416"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37.335,5 </w:t>
            </w:r>
          </w:p>
        </w:tc>
        <w:tc>
          <w:tcPr>
            <w:tcW w:w="1020" w:type="dxa"/>
            <w:noWrap/>
            <w:hideMark/>
          </w:tcPr>
          <w:p w14:paraId="4420FAF3"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35.000,7 </w:t>
            </w:r>
          </w:p>
        </w:tc>
        <w:tc>
          <w:tcPr>
            <w:tcW w:w="1020" w:type="dxa"/>
            <w:noWrap/>
            <w:hideMark/>
          </w:tcPr>
          <w:p w14:paraId="404818F7"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37.306,8 </w:t>
            </w:r>
          </w:p>
        </w:tc>
        <w:tc>
          <w:tcPr>
            <w:tcW w:w="1062" w:type="dxa"/>
            <w:noWrap/>
            <w:hideMark/>
          </w:tcPr>
          <w:p w14:paraId="28F289A8"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37.140,5 </w:t>
            </w:r>
          </w:p>
        </w:tc>
      </w:tr>
      <w:tr w:rsidR="00AC5A97" w:rsidRPr="00CC07BB" w14:paraId="2B83C859" w14:textId="77777777" w:rsidTr="00A24EA4">
        <w:trPr>
          <w:cnfStyle w:val="000000100000" w:firstRow="0" w:lastRow="0" w:firstColumn="0" w:lastColumn="0" w:oddVBand="0" w:evenVBand="0" w:oddHBand="1" w:evenHBand="0" w:firstRowFirstColumn="0" w:firstRowLastColumn="0" w:lastRowFirstColumn="0" w:lastRowLastColumn="0"/>
          <w:trHeight w:val="255"/>
        </w:trPr>
        <w:tc>
          <w:tcPr>
            <w:tcW w:w="4277" w:type="dxa"/>
            <w:hideMark/>
          </w:tcPr>
          <w:p w14:paraId="08EB01E5" w14:textId="77777777" w:rsidR="00AC5A97" w:rsidRPr="00CC07BB" w:rsidRDefault="00AC5A97" w:rsidP="00A24EA4">
            <w:pPr>
              <w:rPr>
                <w:rFonts w:ascii="Verdana" w:hAnsi="Verdana" w:cs="Arial"/>
                <w:sz w:val="16"/>
                <w:szCs w:val="16"/>
              </w:rPr>
            </w:pPr>
            <w:r w:rsidRPr="00CC07BB">
              <w:rPr>
                <w:rFonts w:ascii="Verdana" w:hAnsi="Verdana" w:cs="Arial"/>
                <w:sz w:val="16"/>
                <w:szCs w:val="16"/>
              </w:rPr>
              <w:t>trasporti</w:t>
            </w:r>
          </w:p>
        </w:tc>
        <w:tc>
          <w:tcPr>
            <w:tcW w:w="1062" w:type="dxa"/>
            <w:noWrap/>
            <w:hideMark/>
          </w:tcPr>
          <w:p w14:paraId="3AB4675D"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134.416,9 </w:t>
            </w:r>
          </w:p>
        </w:tc>
        <w:tc>
          <w:tcPr>
            <w:tcW w:w="1020" w:type="dxa"/>
            <w:noWrap/>
            <w:hideMark/>
          </w:tcPr>
          <w:p w14:paraId="35EE24F7"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104.936,1 </w:t>
            </w:r>
          </w:p>
        </w:tc>
        <w:tc>
          <w:tcPr>
            <w:tcW w:w="1020" w:type="dxa"/>
            <w:noWrap/>
            <w:hideMark/>
          </w:tcPr>
          <w:p w14:paraId="0C0CEAD4"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113.378,7 </w:t>
            </w:r>
          </w:p>
        </w:tc>
        <w:tc>
          <w:tcPr>
            <w:tcW w:w="1062" w:type="dxa"/>
            <w:noWrap/>
            <w:hideMark/>
          </w:tcPr>
          <w:p w14:paraId="66998B59"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120.338,0 </w:t>
            </w:r>
          </w:p>
        </w:tc>
      </w:tr>
      <w:tr w:rsidR="00AC5A97" w:rsidRPr="00CC07BB" w14:paraId="0DD9E018" w14:textId="77777777" w:rsidTr="00A24EA4">
        <w:trPr>
          <w:trHeight w:val="255"/>
        </w:trPr>
        <w:tc>
          <w:tcPr>
            <w:tcW w:w="4277" w:type="dxa"/>
            <w:hideMark/>
          </w:tcPr>
          <w:p w14:paraId="79A9D133" w14:textId="77777777" w:rsidR="00AC5A97" w:rsidRPr="00CC07BB" w:rsidRDefault="00AC5A97" w:rsidP="00A24EA4">
            <w:pPr>
              <w:rPr>
                <w:rFonts w:ascii="Verdana" w:hAnsi="Verdana" w:cs="Arial"/>
                <w:sz w:val="16"/>
                <w:szCs w:val="16"/>
              </w:rPr>
            </w:pPr>
            <w:r w:rsidRPr="00CC07BB">
              <w:rPr>
                <w:rFonts w:ascii="Verdana" w:hAnsi="Verdana" w:cs="Arial"/>
                <w:sz w:val="16"/>
                <w:szCs w:val="16"/>
              </w:rPr>
              <w:t>comunicazioni</w:t>
            </w:r>
          </w:p>
        </w:tc>
        <w:tc>
          <w:tcPr>
            <w:tcW w:w="1062" w:type="dxa"/>
            <w:noWrap/>
            <w:hideMark/>
          </w:tcPr>
          <w:p w14:paraId="02CB8DB0"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27.260,0 </w:t>
            </w:r>
          </w:p>
        </w:tc>
        <w:tc>
          <w:tcPr>
            <w:tcW w:w="1020" w:type="dxa"/>
            <w:noWrap/>
            <w:hideMark/>
          </w:tcPr>
          <w:p w14:paraId="56074BAA"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27.494,2 </w:t>
            </w:r>
          </w:p>
        </w:tc>
        <w:tc>
          <w:tcPr>
            <w:tcW w:w="1020" w:type="dxa"/>
            <w:noWrap/>
            <w:hideMark/>
          </w:tcPr>
          <w:p w14:paraId="70EE9179"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29.956,1 </w:t>
            </w:r>
          </w:p>
        </w:tc>
        <w:tc>
          <w:tcPr>
            <w:tcW w:w="1062" w:type="dxa"/>
            <w:noWrap/>
            <w:hideMark/>
          </w:tcPr>
          <w:p w14:paraId="0B4FC233"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32.460,6 </w:t>
            </w:r>
          </w:p>
        </w:tc>
      </w:tr>
      <w:tr w:rsidR="00AC5A97" w:rsidRPr="00CC07BB" w14:paraId="4DC7C795" w14:textId="77777777" w:rsidTr="00A24EA4">
        <w:trPr>
          <w:cnfStyle w:val="000000100000" w:firstRow="0" w:lastRow="0" w:firstColumn="0" w:lastColumn="0" w:oddVBand="0" w:evenVBand="0" w:oddHBand="1" w:evenHBand="0" w:firstRowFirstColumn="0" w:firstRowLastColumn="0" w:lastRowFirstColumn="0" w:lastRowLastColumn="0"/>
          <w:trHeight w:val="255"/>
        </w:trPr>
        <w:tc>
          <w:tcPr>
            <w:tcW w:w="4277" w:type="dxa"/>
            <w:hideMark/>
          </w:tcPr>
          <w:p w14:paraId="7A76A9B8" w14:textId="77777777" w:rsidR="00AC5A97" w:rsidRPr="00CC07BB" w:rsidRDefault="00AC5A97" w:rsidP="00A24EA4">
            <w:pPr>
              <w:rPr>
                <w:rFonts w:ascii="Verdana" w:hAnsi="Verdana" w:cs="Arial"/>
                <w:sz w:val="16"/>
                <w:szCs w:val="16"/>
              </w:rPr>
            </w:pPr>
            <w:r w:rsidRPr="00CC07BB">
              <w:rPr>
                <w:rFonts w:ascii="Verdana" w:hAnsi="Verdana" w:cs="Arial"/>
                <w:sz w:val="16"/>
                <w:szCs w:val="16"/>
              </w:rPr>
              <w:t>ricreazione e cultura</w:t>
            </w:r>
          </w:p>
        </w:tc>
        <w:tc>
          <w:tcPr>
            <w:tcW w:w="1062" w:type="dxa"/>
            <w:noWrap/>
            <w:hideMark/>
          </w:tcPr>
          <w:p w14:paraId="3559F01B"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71.888,2 </w:t>
            </w:r>
          </w:p>
        </w:tc>
        <w:tc>
          <w:tcPr>
            <w:tcW w:w="1020" w:type="dxa"/>
            <w:noWrap/>
            <w:hideMark/>
          </w:tcPr>
          <w:p w14:paraId="565D03D0"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58.061,2 </w:t>
            </w:r>
          </w:p>
        </w:tc>
        <w:tc>
          <w:tcPr>
            <w:tcW w:w="1020" w:type="dxa"/>
            <w:noWrap/>
            <w:hideMark/>
          </w:tcPr>
          <w:p w14:paraId="496831C1"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63.783,1 </w:t>
            </w:r>
          </w:p>
        </w:tc>
        <w:tc>
          <w:tcPr>
            <w:tcW w:w="1062" w:type="dxa"/>
            <w:noWrap/>
            <w:hideMark/>
          </w:tcPr>
          <w:p w14:paraId="3D49A83C"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76.307,3 </w:t>
            </w:r>
          </w:p>
        </w:tc>
      </w:tr>
      <w:tr w:rsidR="00AC5A97" w:rsidRPr="00CC07BB" w14:paraId="68B65D95" w14:textId="77777777" w:rsidTr="00A24EA4">
        <w:trPr>
          <w:trHeight w:val="255"/>
        </w:trPr>
        <w:tc>
          <w:tcPr>
            <w:tcW w:w="4277" w:type="dxa"/>
            <w:hideMark/>
          </w:tcPr>
          <w:p w14:paraId="04408B67" w14:textId="77777777" w:rsidR="00AC5A97" w:rsidRPr="00CC07BB" w:rsidRDefault="00AC5A97" w:rsidP="00A24EA4">
            <w:pPr>
              <w:rPr>
                <w:rFonts w:ascii="Verdana" w:hAnsi="Verdana" w:cs="Arial"/>
                <w:sz w:val="16"/>
                <w:szCs w:val="16"/>
              </w:rPr>
            </w:pPr>
            <w:r w:rsidRPr="00CC07BB">
              <w:rPr>
                <w:rFonts w:ascii="Verdana" w:hAnsi="Verdana" w:cs="Arial"/>
                <w:sz w:val="16"/>
                <w:szCs w:val="16"/>
              </w:rPr>
              <w:t>istruzione</w:t>
            </w:r>
          </w:p>
        </w:tc>
        <w:tc>
          <w:tcPr>
            <w:tcW w:w="1062" w:type="dxa"/>
            <w:noWrap/>
            <w:hideMark/>
          </w:tcPr>
          <w:p w14:paraId="3B30B3F4"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10.660,6 </w:t>
            </w:r>
          </w:p>
        </w:tc>
        <w:tc>
          <w:tcPr>
            <w:tcW w:w="1020" w:type="dxa"/>
            <w:noWrap/>
            <w:hideMark/>
          </w:tcPr>
          <w:p w14:paraId="567460B2"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9.759,3 </w:t>
            </w:r>
          </w:p>
        </w:tc>
        <w:tc>
          <w:tcPr>
            <w:tcW w:w="1020" w:type="dxa"/>
            <w:noWrap/>
            <w:hideMark/>
          </w:tcPr>
          <w:p w14:paraId="49AE6A53"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10.735,9 </w:t>
            </w:r>
          </w:p>
        </w:tc>
        <w:tc>
          <w:tcPr>
            <w:tcW w:w="1062" w:type="dxa"/>
            <w:noWrap/>
            <w:hideMark/>
          </w:tcPr>
          <w:p w14:paraId="4331CDF1"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10.611,0 </w:t>
            </w:r>
          </w:p>
        </w:tc>
      </w:tr>
      <w:tr w:rsidR="00AC5A97" w:rsidRPr="00CC07BB" w14:paraId="75D75384" w14:textId="77777777" w:rsidTr="00A24EA4">
        <w:trPr>
          <w:cnfStyle w:val="000000100000" w:firstRow="0" w:lastRow="0" w:firstColumn="0" w:lastColumn="0" w:oddVBand="0" w:evenVBand="0" w:oddHBand="1" w:evenHBand="0" w:firstRowFirstColumn="0" w:firstRowLastColumn="0" w:lastRowFirstColumn="0" w:lastRowLastColumn="0"/>
          <w:trHeight w:val="255"/>
        </w:trPr>
        <w:tc>
          <w:tcPr>
            <w:tcW w:w="4277" w:type="dxa"/>
            <w:hideMark/>
          </w:tcPr>
          <w:p w14:paraId="3730FE76" w14:textId="77777777" w:rsidR="00AC5A97" w:rsidRPr="00CC07BB" w:rsidRDefault="00AC5A97" w:rsidP="00A24EA4">
            <w:pPr>
              <w:rPr>
                <w:rFonts w:ascii="Verdana" w:hAnsi="Verdana" w:cs="Arial"/>
                <w:sz w:val="16"/>
                <w:szCs w:val="16"/>
              </w:rPr>
            </w:pPr>
            <w:r w:rsidRPr="00CC07BB">
              <w:rPr>
                <w:rFonts w:ascii="Verdana" w:hAnsi="Verdana" w:cs="Arial"/>
                <w:sz w:val="16"/>
                <w:szCs w:val="16"/>
              </w:rPr>
              <w:t>alberghi e ristoranti</w:t>
            </w:r>
          </w:p>
        </w:tc>
        <w:tc>
          <w:tcPr>
            <w:tcW w:w="1062" w:type="dxa"/>
            <w:noWrap/>
            <w:hideMark/>
          </w:tcPr>
          <w:p w14:paraId="6D9ECCD5"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107.907,0 </w:t>
            </w:r>
          </w:p>
        </w:tc>
        <w:tc>
          <w:tcPr>
            <w:tcW w:w="1020" w:type="dxa"/>
            <w:noWrap/>
            <w:hideMark/>
          </w:tcPr>
          <w:p w14:paraId="0024EAAA"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63.224,1 </w:t>
            </w:r>
          </w:p>
        </w:tc>
        <w:tc>
          <w:tcPr>
            <w:tcW w:w="1020" w:type="dxa"/>
            <w:noWrap/>
            <w:hideMark/>
          </w:tcPr>
          <w:p w14:paraId="234B22CC"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75.176,9 </w:t>
            </w:r>
          </w:p>
        </w:tc>
        <w:tc>
          <w:tcPr>
            <w:tcW w:w="1062" w:type="dxa"/>
            <w:noWrap/>
            <w:hideMark/>
          </w:tcPr>
          <w:p w14:paraId="1482B7F1"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94.970,4 </w:t>
            </w:r>
          </w:p>
        </w:tc>
      </w:tr>
      <w:tr w:rsidR="00AC5A97" w:rsidRPr="00CC07BB" w14:paraId="509EE31D" w14:textId="77777777" w:rsidTr="00A24EA4">
        <w:trPr>
          <w:trHeight w:val="255"/>
        </w:trPr>
        <w:tc>
          <w:tcPr>
            <w:tcW w:w="4277" w:type="dxa"/>
            <w:hideMark/>
          </w:tcPr>
          <w:p w14:paraId="60ABED48" w14:textId="77777777" w:rsidR="00AC5A97" w:rsidRPr="00CC07BB" w:rsidRDefault="00AC5A97" w:rsidP="00A24EA4">
            <w:pPr>
              <w:rPr>
                <w:rFonts w:ascii="Verdana" w:hAnsi="Verdana" w:cs="Arial"/>
                <w:sz w:val="16"/>
                <w:szCs w:val="16"/>
              </w:rPr>
            </w:pPr>
            <w:r w:rsidRPr="00CC07BB">
              <w:rPr>
                <w:rFonts w:ascii="Verdana" w:hAnsi="Verdana" w:cs="Arial"/>
                <w:sz w:val="16"/>
                <w:szCs w:val="16"/>
              </w:rPr>
              <w:t>beni e servizi vari</w:t>
            </w:r>
          </w:p>
        </w:tc>
        <w:tc>
          <w:tcPr>
            <w:tcW w:w="1062" w:type="dxa"/>
            <w:noWrap/>
            <w:hideMark/>
          </w:tcPr>
          <w:p w14:paraId="3EBAC696"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107.054,1 </w:t>
            </w:r>
          </w:p>
        </w:tc>
        <w:tc>
          <w:tcPr>
            <w:tcW w:w="1020" w:type="dxa"/>
            <w:noWrap/>
            <w:hideMark/>
          </w:tcPr>
          <w:p w14:paraId="1E6143C2"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101.118,3 </w:t>
            </w:r>
          </w:p>
        </w:tc>
        <w:tc>
          <w:tcPr>
            <w:tcW w:w="1020" w:type="dxa"/>
            <w:noWrap/>
            <w:hideMark/>
          </w:tcPr>
          <w:p w14:paraId="14712619"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102.803,3 </w:t>
            </w:r>
          </w:p>
        </w:tc>
        <w:tc>
          <w:tcPr>
            <w:tcW w:w="1062" w:type="dxa"/>
            <w:noWrap/>
            <w:hideMark/>
          </w:tcPr>
          <w:p w14:paraId="53CF3E89"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107.696,9 </w:t>
            </w:r>
          </w:p>
        </w:tc>
      </w:tr>
      <w:tr w:rsidR="00AC5A97" w:rsidRPr="00CC07BB" w14:paraId="644AF72D" w14:textId="77777777" w:rsidTr="00A24EA4">
        <w:trPr>
          <w:cnfStyle w:val="000000100000" w:firstRow="0" w:lastRow="0" w:firstColumn="0" w:lastColumn="0" w:oddVBand="0" w:evenVBand="0" w:oddHBand="1" w:evenHBand="0" w:firstRowFirstColumn="0" w:firstRowLastColumn="0" w:lastRowFirstColumn="0" w:lastRowLastColumn="0"/>
          <w:trHeight w:val="255"/>
        </w:trPr>
        <w:tc>
          <w:tcPr>
            <w:tcW w:w="4277" w:type="dxa"/>
            <w:hideMark/>
          </w:tcPr>
          <w:p w14:paraId="7A7BA51A" w14:textId="77777777" w:rsidR="00AC5A97" w:rsidRPr="00CC07BB" w:rsidRDefault="00AC5A97" w:rsidP="00A24EA4">
            <w:pPr>
              <w:rPr>
                <w:rFonts w:ascii="Verdana" w:hAnsi="Verdana" w:cs="Arial"/>
                <w:b/>
                <w:bCs/>
                <w:sz w:val="16"/>
                <w:szCs w:val="16"/>
              </w:rPr>
            </w:pPr>
            <w:r w:rsidRPr="00CC07BB">
              <w:rPr>
                <w:rFonts w:ascii="Verdana" w:hAnsi="Verdana" w:cs="Arial"/>
                <w:b/>
                <w:bCs/>
                <w:sz w:val="16"/>
                <w:szCs w:val="16"/>
              </w:rPr>
              <w:t>totale consumi delle famiglie</w:t>
            </w:r>
          </w:p>
        </w:tc>
        <w:tc>
          <w:tcPr>
            <w:tcW w:w="1062" w:type="dxa"/>
            <w:noWrap/>
            <w:hideMark/>
          </w:tcPr>
          <w:p w14:paraId="7479C0EA" w14:textId="77777777" w:rsidR="00AC5A97" w:rsidRPr="00CC07BB" w:rsidRDefault="00AC5A97" w:rsidP="00A24EA4">
            <w:pPr>
              <w:jc w:val="right"/>
              <w:rPr>
                <w:rFonts w:ascii="Arial" w:hAnsi="Arial" w:cs="Arial"/>
                <w:b/>
                <w:bCs/>
                <w:sz w:val="16"/>
                <w:szCs w:val="16"/>
              </w:rPr>
            </w:pPr>
            <w:r w:rsidRPr="00CC07BB">
              <w:rPr>
                <w:rFonts w:ascii="Arial" w:hAnsi="Arial" w:cs="Arial"/>
                <w:b/>
                <w:bCs/>
                <w:sz w:val="16"/>
                <w:szCs w:val="16"/>
              </w:rPr>
              <w:t xml:space="preserve">1.058.216,5 </w:t>
            </w:r>
          </w:p>
        </w:tc>
        <w:tc>
          <w:tcPr>
            <w:tcW w:w="1020" w:type="dxa"/>
            <w:noWrap/>
            <w:hideMark/>
          </w:tcPr>
          <w:p w14:paraId="7DEAD58D" w14:textId="77777777" w:rsidR="00AC5A97" w:rsidRPr="00CC07BB" w:rsidRDefault="00AC5A97" w:rsidP="00A24EA4">
            <w:pPr>
              <w:jc w:val="right"/>
              <w:rPr>
                <w:rFonts w:ascii="Arial" w:hAnsi="Arial" w:cs="Arial"/>
                <w:b/>
                <w:bCs/>
                <w:sz w:val="16"/>
                <w:szCs w:val="16"/>
              </w:rPr>
            </w:pPr>
            <w:r w:rsidRPr="00CC07BB">
              <w:rPr>
                <w:rFonts w:ascii="Arial" w:hAnsi="Arial" w:cs="Arial"/>
                <w:b/>
                <w:bCs/>
                <w:sz w:val="16"/>
                <w:szCs w:val="16"/>
              </w:rPr>
              <w:t xml:space="preserve">938.724,1 </w:t>
            </w:r>
          </w:p>
        </w:tc>
        <w:tc>
          <w:tcPr>
            <w:tcW w:w="1020" w:type="dxa"/>
            <w:noWrap/>
            <w:hideMark/>
          </w:tcPr>
          <w:p w14:paraId="350F8EDD" w14:textId="77777777" w:rsidR="00AC5A97" w:rsidRPr="00CC07BB" w:rsidRDefault="00AC5A97" w:rsidP="00A24EA4">
            <w:pPr>
              <w:jc w:val="right"/>
              <w:rPr>
                <w:rFonts w:ascii="Arial" w:hAnsi="Arial" w:cs="Arial"/>
                <w:b/>
                <w:bCs/>
                <w:sz w:val="16"/>
                <w:szCs w:val="16"/>
              </w:rPr>
            </w:pPr>
            <w:r w:rsidRPr="00CC07BB">
              <w:rPr>
                <w:rFonts w:ascii="Arial" w:hAnsi="Arial" w:cs="Arial"/>
                <w:b/>
                <w:bCs/>
                <w:sz w:val="16"/>
                <w:szCs w:val="16"/>
              </w:rPr>
              <w:t xml:space="preserve">984.426,2 </w:t>
            </w:r>
          </w:p>
        </w:tc>
        <w:tc>
          <w:tcPr>
            <w:tcW w:w="1062" w:type="dxa"/>
            <w:noWrap/>
            <w:hideMark/>
          </w:tcPr>
          <w:p w14:paraId="30E88BE1" w14:textId="77777777" w:rsidR="00AC5A97" w:rsidRPr="00CC07BB" w:rsidRDefault="00AC5A97" w:rsidP="00A24EA4">
            <w:pPr>
              <w:jc w:val="right"/>
              <w:rPr>
                <w:rFonts w:ascii="Arial" w:hAnsi="Arial" w:cs="Arial"/>
                <w:b/>
                <w:bCs/>
                <w:sz w:val="16"/>
                <w:szCs w:val="16"/>
              </w:rPr>
            </w:pPr>
            <w:r w:rsidRPr="00CC07BB">
              <w:rPr>
                <w:rFonts w:ascii="Arial" w:hAnsi="Arial" w:cs="Arial"/>
                <w:b/>
                <w:bCs/>
                <w:sz w:val="16"/>
                <w:szCs w:val="16"/>
              </w:rPr>
              <w:t xml:space="preserve">1.039.028,1 </w:t>
            </w:r>
          </w:p>
        </w:tc>
      </w:tr>
      <w:tr w:rsidR="00AC5A97" w:rsidRPr="00CC07BB" w14:paraId="05097257" w14:textId="77777777" w:rsidTr="00A24EA4">
        <w:trPr>
          <w:trHeight w:val="255"/>
        </w:trPr>
        <w:tc>
          <w:tcPr>
            <w:tcW w:w="4277" w:type="dxa"/>
            <w:hideMark/>
          </w:tcPr>
          <w:p w14:paraId="2AF95B48" w14:textId="77777777" w:rsidR="00AC5A97" w:rsidRPr="00CC07BB" w:rsidRDefault="00AC5A97" w:rsidP="00A24EA4">
            <w:pPr>
              <w:rPr>
                <w:rFonts w:ascii="Verdana" w:hAnsi="Verdana" w:cs="Arial"/>
                <w:sz w:val="16"/>
                <w:szCs w:val="16"/>
              </w:rPr>
            </w:pPr>
            <w:r w:rsidRPr="00CC07BB">
              <w:rPr>
                <w:rFonts w:ascii="Verdana" w:hAnsi="Verdana" w:cs="Arial"/>
                <w:sz w:val="16"/>
                <w:szCs w:val="16"/>
              </w:rPr>
              <w:t>totale beni</w:t>
            </w:r>
          </w:p>
        </w:tc>
        <w:tc>
          <w:tcPr>
            <w:tcW w:w="1062" w:type="dxa"/>
            <w:noWrap/>
            <w:hideMark/>
          </w:tcPr>
          <w:p w14:paraId="3B2F9C25"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504.821,2 </w:t>
            </w:r>
          </w:p>
        </w:tc>
        <w:tc>
          <w:tcPr>
            <w:tcW w:w="1020" w:type="dxa"/>
            <w:noWrap/>
            <w:hideMark/>
          </w:tcPr>
          <w:p w14:paraId="2C85F9C1"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473.552,7 </w:t>
            </w:r>
          </w:p>
        </w:tc>
        <w:tc>
          <w:tcPr>
            <w:tcW w:w="1020" w:type="dxa"/>
            <w:noWrap/>
            <w:hideMark/>
          </w:tcPr>
          <w:p w14:paraId="2ACB3170"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500.191,9 </w:t>
            </w:r>
          </w:p>
        </w:tc>
        <w:tc>
          <w:tcPr>
            <w:tcW w:w="1062" w:type="dxa"/>
            <w:noWrap/>
            <w:hideMark/>
          </w:tcPr>
          <w:p w14:paraId="503464BC"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512.140,9 </w:t>
            </w:r>
          </w:p>
        </w:tc>
      </w:tr>
      <w:tr w:rsidR="00AC5A97" w:rsidRPr="00CC07BB" w14:paraId="4656B7A1" w14:textId="77777777" w:rsidTr="00A24EA4">
        <w:trPr>
          <w:cnfStyle w:val="000000100000" w:firstRow="0" w:lastRow="0" w:firstColumn="0" w:lastColumn="0" w:oddVBand="0" w:evenVBand="0" w:oddHBand="1" w:evenHBand="0" w:firstRowFirstColumn="0" w:firstRowLastColumn="0" w:lastRowFirstColumn="0" w:lastRowLastColumn="0"/>
          <w:trHeight w:val="255"/>
        </w:trPr>
        <w:tc>
          <w:tcPr>
            <w:tcW w:w="4277" w:type="dxa"/>
            <w:hideMark/>
          </w:tcPr>
          <w:p w14:paraId="5674389D" w14:textId="77777777" w:rsidR="00AC5A97" w:rsidRPr="00CC07BB" w:rsidRDefault="00AC5A97" w:rsidP="00A24EA4">
            <w:pPr>
              <w:rPr>
                <w:rFonts w:ascii="Verdana" w:hAnsi="Verdana" w:cs="Arial"/>
                <w:sz w:val="16"/>
                <w:szCs w:val="16"/>
              </w:rPr>
            </w:pPr>
            <w:r w:rsidRPr="00CC07BB">
              <w:rPr>
                <w:rFonts w:ascii="Verdana" w:hAnsi="Verdana" w:cs="Arial"/>
                <w:sz w:val="16"/>
                <w:szCs w:val="16"/>
              </w:rPr>
              <w:t>servizi</w:t>
            </w:r>
          </w:p>
        </w:tc>
        <w:tc>
          <w:tcPr>
            <w:tcW w:w="1062" w:type="dxa"/>
            <w:noWrap/>
            <w:hideMark/>
          </w:tcPr>
          <w:p w14:paraId="43ACC40A"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553.424,5 </w:t>
            </w:r>
          </w:p>
        </w:tc>
        <w:tc>
          <w:tcPr>
            <w:tcW w:w="1020" w:type="dxa"/>
            <w:noWrap/>
            <w:hideMark/>
          </w:tcPr>
          <w:p w14:paraId="55E987C7"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465.465,1 </w:t>
            </w:r>
          </w:p>
        </w:tc>
        <w:tc>
          <w:tcPr>
            <w:tcW w:w="1020" w:type="dxa"/>
            <w:noWrap/>
            <w:hideMark/>
          </w:tcPr>
          <w:p w14:paraId="7B0AB674"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484.624,4 </w:t>
            </w:r>
          </w:p>
        </w:tc>
        <w:tc>
          <w:tcPr>
            <w:tcW w:w="1062" w:type="dxa"/>
            <w:noWrap/>
            <w:hideMark/>
          </w:tcPr>
          <w:p w14:paraId="6506862F" w14:textId="77777777" w:rsidR="00AC5A97" w:rsidRPr="00CC07BB" w:rsidRDefault="00AC5A97" w:rsidP="00A24EA4">
            <w:pPr>
              <w:jc w:val="right"/>
              <w:rPr>
                <w:rFonts w:ascii="Arial" w:hAnsi="Arial" w:cs="Arial"/>
                <w:sz w:val="16"/>
                <w:szCs w:val="16"/>
              </w:rPr>
            </w:pPr>
            <w:r w:rsidRPr="00CC07BB">
              <w:rPr>
                <w:rFonts w:ascii="Arial" w:hAnsi="Arial" w:cs="Arial"/>
                <w:sz w:val="16"/>
                <w:szCs w:val="16"/>
              </w:rPr>
              <w:t xml:space="preserve">527.128,4 </w:t>
            </w:r>
          </w:p>
        </w:tc>
      </w:tr>
    </w:tbl>
    <w:p w14:paraId="07CF6D50" w14:textId="77777777" w:rsidR="00AC5A97" w:rsidRDefault="00AC5A97" w:rsidP="00AC5A97">
      <w:pPr>
        <w:spacing w:line="240" w:lineRule="atLeast"/>
        <w:jc w:val="both"/>
        <w:rPr>
          <w:rFonts w:cstheme="minorHAnsi"/>
          <w:color w:val="003F7E"/>
          <w:sz w:val="18"/>
          <w:szCs w:val="18"/>
        </w:rPr>
      </w:pPr>
      <w:r w:rsidRPr="00CB33F8">
        <w:rPr>
          <w:rFonts w:cstheme="minorHAnsi"/>
          <w:color w:val="003F7E"/>
          <w:sz w:val="18"/>
          <w:szCs w:val="18"/>
        </w:rPr>
        <w:t>Fonte: Istat</w:t>
      </w:r>
    </w:p>
    <w:p w14:paraId="3CABCC43" w14:textId="0AC850DA" w:rsidR="00AD03D2" w:rsidRPr="00A417D8" w:rsidRDefault="00F34FEA" w:rsidP="00AD03D2">
      <w:pPr>
        <w:spacing w:line="360" w:lineRule="auto"/>
        <w:jc w:val="both"/>
        <w:rPr>
          <w:rFonts w:ascii="Verdana" w:hAnsi="Verdana"/>
          <w:sz w:val="22"/>
          <w:szCs w:val="22"/>
        </w:rPr>
      </w:pPr>
      <w:r w:rsidRPr="00A417D8">
        <w:rPr>
          <w:rFonts w:ascii="Verdana" w:hAnsi="Verdana"/>
          <w:sz w:val="22"/>
          <w:szCs w:val="22"/>
        </w:rPr>
        <w:lastRenderedPageBreak/>
        <w:t>Nel complesso nel 2022 i consumi alimentari</w:t>
      </w:r>
      <w:r w:rsidRPr="00A417D8">
        <w:rPr>
          <w:rStyle w:val="Rimandonotaapidipagina"/>
          <w:rFonts w:ascii="Verdana" w:hAnsi="Verdana"/>
          <w:sz w:val="22"/>
          <w:szCs w:val="22"/>
        </w:rPr>
        <w:footnoteReference w:id="2"/>
      </w:r>
      <w:r w:rsidRPr="00A417D8">
        <w:rPr>
          <w:rFonts w:ascii="Verdana" w:hAnsi="Verdana"/>
          <w:sz w:val="22"/>
          <w:szCs w:val="22"/>
        </w:rPr>
        <w:t xml:space="preserve"> in Italia sono stati pari a circa 260 miliardi, di cui 172 miliardi </w:t>
      </w:r>
      <w:r w:rsidRPr="00A417D8">
        <w:rPr>
          <w:rFonts w:ascii="Verdana" w:hAnsi="Verdana"/>
          <w:i/>
          <w:iCs/>
          <w:sz w:val="22"/>
          <w:szCs w:val="22"/>
        </w:rPr>
        <w:t>At Home</w:t>
      </w:r>
      <w:r w:rsidRPr="00A417D8">
        <w:rPr>
          <w:rFonts w:ascii="Verdana" w:hAnsi="Verdana"/>
          <w:sz w:val="22"/>
          <w:szCs w:val="22"/>
        </w:rPr>
        <w:t xml:space="preserve"> e 82 miliardi </w:t>
      </w:r>
      <w:proofErr w:type="spellStart"/>
      <w:r w:rsidRPr="00A417D8">
        <w:rPr>
          <w:rFonts w:ascii="Verdana" w:hAnsi="Verdana"/>
          <w:i/>
          <w:iCs/>
          <w:sz w:val="22"/>
          <w:szCs w:val="22"/>
        </w:rPr>
        <w:t>Away</w:t>
      </w:r>
      <w:proofErr w:type="spellEnd"/>
      <w:r w:rsidRPr="00A417D8">
        <w:rPr>
          <w:rFonts w:ascii="Verdana" w:hAnsi="Verdana"/>
          <w:i/>
          <w:iCs/>
          <w:sz w:val="22"/>
          <w:szCs w:val="22"/>
        </w:rPr>
        <w:t xml:space="preserve"> From Home</w:t>
      </w:r>
      <w:r w:rsidRPr="00A417D8">
        <w:rPr>
          <w:rFonts w:ascii="Verdana" w:hAnsi="Verdana"/>
          <w:sz w:val="22"/>
          <w:szCs w:val="22"/>
        </w:rPr>
        <w:t>. I</w:t>
      </w:r>
      <w:r w:rsidR="00AD03D2" w:rsidRPr="00A417D8">
        <w:rPr>
          <w:rFonts w:ascii="Verdana" w:hAnsi="Verdana"/>
          <w:sz w:val="22"/>
          <w:szCs w:val="22"/>
        </w:rPr>
        <w:t xml:space="preserve">l mercato dei consumi fuori casa ha </w:t>
      </w:r>
      <w:r w:rsidR="00A417D8" w:rsidRPr="00A417D8">
        <w:rPr>
          <w:rFonts w:ascii="Verdana" w:hAnsi="Verdana"/>
          <w:sz w:val="22"/>
          <w:szCs w:val="22"/>
        </w:rPr>
        <w:t xml:space="preserve">quindi </w:t>
      </w:r>
      <w:r w:rsidR="00AD03D2" w:rsidRPr="00A417D8">
        <w:rPr>
          <w:rFonts w:ascii="Verdana" w:hAnsi="Verdana"/>
          <w:sz w:val="22"/>
          <w:szCs w:val="22"/>
        </w:rPr>
        <w:t>proseguito la ripresa chiudendo l’anno con un valore stimato di circa 82 miliardi a prezzi correnti e avvicinandosi così al valore del 2019 (85,5 miliardi).</w:t>
      </w:r>
    </w:p>
    <w:p w14:paraId="5DFAF347" w14:textId="496DFE55" w:rsidR="00F34FEA" w:rsidRPr="0059374F" w:rsidRDefault="00F34FEA" w:rsidP="00F34FEA">
      <w:pPr>
        <w:spacing w:line="360" w:lineRule="auto"/>
        <w:ind w:left="567"/>
        <w:rPr>
          <w:rFonts w:ascii="Arial" w:hAnsi="Arial" w:cs="Arial"/>
          <w:b/>
          <w:color w:val="003F7E"/>
          <w:sz w:val="20"/>
          <w:szCs w:val="20"/>
        </w:rPr>
      </w:pPr>
      <w:r w:rsidRPr="0059374F">
        <w:rPr>
          <w:rFonts w:ascii="Arial" w:hAnsi="Arial" w:cs="Arial"/>
          <w:b/>
          <w:color w:val="003F7E"/>
          <w:sz w:val="20"/>
          <w:szCs w:val="20"/>
        </w:rPr>
        <w:t xml:space="preserve">Confronto tra l’andamento dei consumi </w:t>
      </w:r>
      <w:proofErr w:type="spellStart"/>
      <w:r w:rsidRPr="0059374F">
        <w:rPr>
          <w:rFonts w:ascii="Arial" w:hAnsi="Arial" w:cs="Arial"/>
          <w:b/>
          <w:color w:val="003F7E"/>
          <w:sz w:val="20"/>
          <w:szCs w:val="20"/>
        </w:rPr>
        <w:t>Away</w:t>
      </w:r>
      <w:proofErr w:type="spellEnd"/>
      <w:r w:rsidRPr="0059374F">
        <w:rPr>
          <w:rFonts w:ascii="Arial" w:hAnsi="Arial" w:cs="Arial"/>
          <w:b/>
          <w:color w:val="003F7E"/>
          <w:sz w:val="20"/>
          <w:szCs w:val="20"/>
        </w:rPr>
        <w:t xml:space="preserve"> From Home e At Home in Italia</w:t>
      </w:r>
    </w:p>
    <w:p w14:paraId="7F53C9E0" w14:textId="77777777" w:rsidR="00F34FEA" w:rsidRPr="0059374F" w:rsidRDefault="00F34FEA" w:rsidP="00F34FEA">
      <w:pPr>
        <w:spacing w:line="360" w:lineRule="auto"/>
        <w:ind w:firstLine="567"/>
        <w:rPr>
          <w:rFonts w:ascii="Arial" w:eastAsia="Arial Unicode MS" w:hAnsi="Arial" w:cs="Arial"/>
          <w:color w:val="003F7E"/>
          <w:sz w:val="16"/>
          <w:szCs w:val="18"/>
        </w:rPr>
      </w:pPr>
      <w:r w:rsidRPr="0059374F">
        <w:rPr>
          <w:rFonts w:ascii="Arial" w:eastAsia="Arial Unicode MS" w:hAnsi="Arial" w:cs="Arial"/>
          <w:color w:val="003F7E"/>
          <w:sz w:val="16"/>
          <w:szCs w:val="18"/>
        </w:rPr>
        <w:t>(Trend 2000/2022 - valori correnti)</w:t>
      </w:r>
    </w:p>
    <w:p w14:paraId="4C748378" w14:textId="77777777" w:rsidR="00F34FEA" w:rsidRPr="0059374F" w:rsidRDefault="00F34FEA" w:rsidP="00F34FEA">
      <w:pPr>
        <w:spacing w:line="360" w:lineRule="auto"/>
        <w:ind w:firstLine="567"/>
        <w:rPr>
          <w:rFonts w:ascii="Arial" w:eastAsia="Arial Unicode MS" w:hAnsi="Arial" w:cs="Arial"/>
          <w:color w:val="003F7E"/>
          <w:sz w:val="16"/>
          <w:szCs w:val="18"/>
        </w:rPr>
      </w:pPr>
      <w:r w:rsidRPr="0059374F">
        <w:rPr>
          <w:rFonts w:ascii="Arial" w:eastAsia="Arial Unicode MS" w:hAnsi="Arial" w:cs="Arial"/>
          <w:noProof/>
          <w:color w:val="003F7E"/>
          <w:sz w:val="16"/>
          <w:szCs w:val="18"/>
        </w:rPr>
        <w:drawing>
          <wp:inline distT="0" distB="0" distL="0" distR="0" wp14:anchorId="54D290F5" wp14:editId="4C090163">
            <wp:extent cx="5514340" cy="303553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8990"/>
                    <a:stretch/>
                  </pic:blipFill>
                  <pic:spPr bwMode="auto">
                    <a:xfrm>
                      <a:off x="0" y="0"/>
                      <a:ext cx="5520557" cy="3038958"/>
                    </a:xfrm>
                    <a:prstGeom prst="rect">
                      <a:avLst/>
                    </a:prstGeom>
                    <a:noFill/>
                    <a:ln>
                      <a:noFill/>
                    </a:ln>
                    <a:extLst>
                      <a:ext uri="{53640926-AAD7-44D8-BBD7-CCE9431645EC}">
                        <a14:shadowObscured xmlns:a14="http://schemas.microsoft.com/office/drawing/2010/main"/>
                      </a:ext>
                    </a:extLst>
                  </pic:spPr>
                </pic:pic>
              </a:graphicData>
            </a:graphic>
          </wp:inline>
        </w:drawing>
      </w:r>
    </w:p>
    <w:p w14:paraId="2CE47E6B" w14:textId="77777777" w:rsidR="00F34FEA" w:rsidRPr="0059374F" w:rsidRDefault="00F34FEA" w:rsidP="00F34FEA">
      <w:pPr>
        <w:spacing w:line="360" w:lineRule="auto"/>
        <w:ind w:firstLine="567"/>
        <w:jc w:val="both"/>
        <w:rPr>
          <w:rFonts w:ascii="Arial" w:hAnsi="Arial" w:cs="Arial"/>
          <w:color w:val="003F7E"/>
          <w:sz w:val="16"/>
          <w:szCs w:val="16"/>
        </w:rPr>
      </w:pPr>
      <w:r w:rsidRPr="0059374F">
        <w:rPr>
          <w:rFonts w:ascii="Arial" w:hAnsi="Arial" w:cs="Arial"/>
          <w:color w:val="003F7E"/>
          <w:sz w:val="16"/>
          <w:szCs w:val="16"/>
        </w:rPr>
        <w:t xml:space="preserve">Fonte: </w:t>
      </w:r>
      <w:bookmarkStart w:id="2" w:name="_Hlk65772926"/>
      <w:r w:rsidRPr="0059374F">
        <w:rPr>
          <w:rFonts w:ascii="Arial" w:hAnsi="Arial" w:cs="Arial"/>
          <w:color w:val="003F7E"/>
          <w:sz w:val="16"/>
          <w:szCs w:val="16"/>
        </w:rPr>
        <w:t xml:space="preserve">elaborazione </w:t>
      </w:r>
      <w:proofErr w:type="spellStart"/>
      <w:r w:rsidRPr="0059374F">
        <w:rPr>
          <w:rFonts w:ascii="Arial" w:hAnsi="Arial" w:cs="Arial"/>
          <w:color w:val="003F7E"/>
          <w:sz w:val="16"/>
          <w:szCs w:val="16"/>
        </w:rPr>
        <w:t>TradeLab</w:t>
      </w:r>
      <w:proofErr w:type="spellEnd"/>
      <w:r w:rsidRPr="0059374F">
        <w:rPr>
          <w:rFonts w:ascii="Arial" w:hAnsi="Arial" w:cs="Arial"/>
          <w:color w:val="003F7E"/>
          <w:sz w:val="16"/>
          <w:szCs w:val="16"/>
        </w:rPr>
        <w:t xml:space="preserve"> su dati Istat</w:t>
      </w:r>
      <w:bookmarkEnd w:id="2"/>
    </w:p>
    <w:p w14:paraId="53BAD467" w14:textId="4FF48BF4" w:rsidR="00AD03D2" w:rsidRDefault="00A417D8" w:rsidP="00621F9B">
      <w:pPr>
        <w:spacing w:line="360" w:lineRule="auto"/>
        <w:jc w:val="both"/>
        <w:rPr>
          <w:rFonts w:ascii="Verdana" w:hAnsi="Verdana"/>
          <w:sz w:val="22"/>
          <w:szCs w:val="22"/>
        </w:rPr>
      </w:pPr>
      <w:r w:rsidRPr="002A0B0F">
        <w:rPr>
          <w:rFonts w:ascii="Verdana" w:hAnsi="Verdana"/>
          <w:sz w:val="22"/>
          <w:szCs w:val="22"/>
        </w:rPr>
        <w:t xml:space="preserve">La crescita del mercato fuori casa è stata rilevante, con incremento del 26% rispetto all’anno precedente; i consumi alimentari domestici sono cresciuti ma in modo meno </w:t>
      </w:r>
      <w:r w:rsidR="00A76B3B">
        <w:rPr>
          <w:rFonts w:ascii="Verdana" w:hAnsi="Verdana"/>
          <w:sz w:val="22"/>
          <w:szCs w:val="22"/>
        </w:rPr>
        <w:t>importante</w:t>
      </w:r>
      <w:r w:rsidRPr="002A0B0F">
        <w:rPr>
          <w:rFonts w:ascii="Verdana" w:hAnsi="Verdana"/>
          <w:sz w:val="22"/>
          <w:szCs w:val="22"/>
        </w:rPr>
        <w:t xml:space="preserve"> (+ 4,7%) e ben al di sotto del tasso di inflazione ad indicare che la crescita in volume è stata negativa. Uno dei maggiori cambiamenti della domanda che ha avuto impatto sui consumi fuori casa è senz’altro il turismo. L’incidenza del turismo estero, che nel periodo </w:t>
      </w:r>
      <w:proofErr w:type="spellStart"/>
      <w:r w:rsidRPr="002A0B0F">
        <w:rPr>
          <w:rFonts w:ascii="Verdana" w:hAnsi="Verdana"/>
          <w:sz w:val="22"/>
          <w:szCs w:val="22"/>
        </w:rPr>
        <w:t>pre</w:t>
      </w:r>
      <w:proofErr w:type="spellEnd"/>
      <w:r w:rsidRPr="002A0B0F">
        <w:rPr>
          <w:rFonts w:ascii="Verdana" w:hAnsi="Verdana"/>
          <w:sz w:val="22"/>
          <w:szCs w:val="22"/>
        </w:rPr>
        <w:t>-pandemia, era arrivata a pesare circa il 10% dei consumi Fuori Casa, nel 2020 è scesa a un valore pari a circa il 5% per salire nel 2021 al 6%. Nel 2022 si rileva un tendenziale riallineamento ai valori del 2019.</w:t>
      </w:r>
    </w:p>
    <w:p w14:paraId="6DC47413" w14:textId="77777777" w:rsidR="00E70684" w:rsidRPr="00B5707D" w:rsidRDefault="00E70684" w:rsidP="00E70684">
      <w:pPr>
        <w:spacing w:line="360" w:lineRule="auto"/>
        <w:jc w:val="center"/>
        <w:rPr>
          <w:rFonts w:ascii="Verdana" w:hAnsi="Verdana"/>
          <w:b/>
          <w:color w:val="003F7E"/>
        </w:rPr>
      </w:pPr>
      <w:r w:rsidRPr="00B5707D">
        <w:rPr>
          <w:rFonts w:ascii="Garamond" w:hAnsi="Garamond"/>
          <w:b/>
          <w:color w:val="003F7E"/>
        </w:rPr>
        <w:t>* * *</w:t>
      </w:r>
    </w:p>
    <w:p w14:paraId="24A60187" w14:textId="4B6FC422" w:rsidR="00E70684" w:rsidRPr="0047623F" w:rsidRDefault="00E70684" w:rsidP="00E70684">
      <w:pPr>
        <w:pStyle w:val="Nessunaspaziatura"/>
        <w:spacing w:line="360" w:lineRule="auto"/>
        <w:jc w:val="both"/>
        <w:rPr>
          <w:rFonts w:ascii="Verdana" w:hAnsi="Verdana" w:cs="Tahoma"/>
          <w:bCs/>
        </w:rPr>
      </w:pPr>
      <w:r>
        <w:rPr>
          <w:rFonts w:ascii="Verdana" w:eastAsiaTheme="minorEastAsia" w:hAnsi="Verdana" w:cs="Tahoma"/>
          <w:bCs/>
          <w:szCs w:val="16"/>
        </w:rPr>
        <w:t>La ripresa dell’inflazione ha caratterizzato l’intero anno.</w:t>
      </w:r>
      <w:r w:rsidR="004B6160">
        <w:rPr>
          <w:rFonts w:ascii="Verdana" w:eastAsiaTheme="minorEastAsia" w:hAnsi="Verdana" w:cs="Tahoma"/>
          <w:bCs/>
          <w:szCs w:val="16"/>
        </w:rPr>
        <w:t xml:space="preserve"> </w:t>
      </w:r>
      <w:r w:rsidRPr="00090BC0">
        <w:rPr>
          <w:rFonts w:ascii="Verdana" w:eastAsiaTheme="minorEastAsia" w:hAnsi="Verdana" w:cs="Tahoma"/>
          <w:bCs/>
          <w:szCs w:val="16"/>
        </w:rPr>
        <w:t>La variazione media annua dei prezzi è stata nel 202</w:t>
      </w:r>
      <w:r>
        <w:rPr>
          <w:rFonts w:ascii="Verdana" w:eastAsiaTheme="minorEastAsia" w:hAnsi="Verdana" w:cs="Tahoma"/>
          <w:bCs/>
          <w:szCs w:val="16"/>
        </w:rPr>
        <w:t>2</w:t>
      </w:r>
      <w:r w:rsidRPr="00090BC0">
        <w:rPr>
          <w:rFonts w:ascii="Verdana" w:hAnsi="Verdana" w:cs="Tahoma"/>
          <w:bCs/>
          <w:szCs w:val="16"/>
        </w:rPr>
        <w:t xml:space="preserve"> </w:t>
      </w:r>
      <w:r>
        <w:rPr>
          <w:rFonts w:ascii="Verdana" w:hAnsi="Verdana" w:cs="Tahoma"/>
          <w:bCs/>
          <w:szCs w:val="16"/>
        </w:rPr>
        <w:t xml:space="preserve">pari </w:t>
      </w:r>
      <w:r w:rsidRPr="0047623F">
        <w:rPr>
          <w:rFonts w:ascii="Verdana" w:hAnsi="Verdana" w:cs="Tahoma"/>
          <w:bCs/>
        </w:rPr>
        <w:t xml:space="preserve">al 5,1% per la ristorazione commerciale e </w:t>
      </w:r>
      <w:r>
        <w:rPr>
          <w:rFonts w:ascii="Verdana" w:hAnsi="Verdana" w:cs="Tahoma"/>
          <w:bCs/>
        </w:rPr>
        <w:t xml:space="preserve">allo 0,4% per la ristorazione collettiva </w:t>
      </w:r>
      <w:r w:rsidRPr="00090BC0">
        <w:rPr>
          <w:rFonts w:ascii="Verdana" w:hAnsi="Verdana" w:cs="Tahoma"/>
          <w:bCs/>
          <w:szCs w:val="16"/>
        </w:rPr>
        <w:t xml:space="preserve">portando l’intero settore ad un incremento </w:t>
      </w:r>
      <w:r>
        <w:rPr>
          <w:rFonts w:ascii="Verdana" w:hAnsi="Verdana" w:cs="Tahoma"/>
          <w:bCs/>
        </w:rPr>
        <w:t>de</w:t>
      </w:r>
      <w:r w:rsidRPr="0047623F">
        <w:rPr>
          <w:rFonts w:ascii="Verdana" w:hAnsi="Verdana" w:cs="Tahoma"/>
          <w:bCs/>
        </w:rPr>
        <w:t>l 5,0%</w:t>
      </w:r>
      <w:r>
        <w:rPr>
          <w:rFonts w:ascii="Verdana" w:hAnsi="Verdana" w:cs="Tahoma"/>
          <w:bCs/>
        </w:rPr>
        <w:t xml:space="preserve"> a fronte del +8,1% per l’intera economia.</w:t>
      </w:r>
    </w:p>
    <w:p w14:paraId="0F955F01" w14:textId="73A9FD7C" w:rsidR="00E70684" w:rsidRDefault="00E70684" w:rsidP="00E70684">
      <w:pPr>
        <w:spacing w:line="360" w:lineRule="auto"/>
        <w:jc w:val="both"/>
        <w:rPr>
          <w:rFonts w:ascii="Verdana" w:hAnsi="Verdana" w:cs="Tahoma"/>
          <w:bCs/>
          <w:sz w:val="22"/>
          <w:szCs w:val="18"/>
        </w:rPr>
      </w:pPr>
    </w:p>
    <w:p w14:paraId="5B6E62D3" w14:textId="77777777" w:rsidR="00A76B3B" w:rsidRDefault="00A76B3B" w:rsidP="00E70684">
      <w:pPr>
        <w:spacing w:line="360" w:lineRule="auto"/>
        <w:jc w:val="both"/>
        <w:rPr>
          <w:rFonts w:ascii="Verdana" w:hAnsi="Verdana" w:cs="Tahoma"/>
          <w:bCs/>
          <w:sz w:val="22"/>
          <w:szCs w:val="18"/>
        </w:rPr>
      </w:pPr>
    </w:p>
    <w:p w14:paraId="706A5D5C" w14:textId="0BC2C0E0" w:rsidR="00E70684" w:rsidRDefault="00E70684" w:rsidP="00E70684">
      <w:pPr>
        <w:spacing w:line="360" w:lineRule="auto"/>
        <w:jc w:val="center"/>
        <w:rPr>
          <w:rFonts w:ascii="Arial" w:hAnsi="Arial" w:cs="Arial"/>
          <w:color w:val="003F7E"/>
          <w:sz w:val="16"/>
        </w:rPr>
      </w:pPr>
      <w:r w:rsidRPr="00D63429">
        <w:rPr>
          <w:rFonts w:ascii="Arial" w:hAnsi="Arial" w:cs="Arial"/>
          <w:b/>
          <w:bCs/>
          <w:color w:val="003F7E"/>
          <w:sz w:val="20"/>
        </w:rPr>
        <w:lastRenderedPageBreak/>
        <w:t>Servizi di ristorazione</w:t>
      </w:r>
      <w:r>
        <w:rPr>
          <w:rFonts w:ascii="Arial" w:hAnsi="Arial" w:cs="Arial"/>
          <w:b/>
          <w:bCs/>
          <w:color w:val="003F7E"/>
          <w:sz w:val="20"/>
        </w:rPr>
        <w:t xml:space="preserve"> </w:t>
      </w:r>
      <w:r w:rsidRPr="00D63429">
        <w:rPr>
          <w:rFonts w:ascii="Arial" w:hAnsi="Arial" w:cs="Arial"/>
          <w:color w:val="003F7E"/>
          <w:sz w:val="16"/>
        </w:rPr>
        <w:t>(var% sullo stesso mese dell'anno precedente)</w:t>
      </w:r>
    </w:p>
    <w:p w14:paraId="3B8C94DF" w14:textId="77777777" w:rsidR="00E70684" w:rsidRDefault="00E70684" w:rsidP="00E70684">
      <w:pPr>
        <w:pStyle w:val="Nessunaspaziatura"/>
        <w:jc w:val="center"/>
        <w:rPr>
          <w:rFonts w:ascii="Arial" w:hAnsi="Arial" w:cs="Arial"/>
          <w:color w:val="003F7E"/>
          <w:sz w:val="16"/>
        </w:rPr>
      </w:pPr>
    </w:p>
    <w:p w14:paraId="1B3811FF" w14:textId="77777777" w:rsidR="00E70684" w:rsidRDefault="00E70684" w:rsidP="00E70684">
      <w:pPr>
        <w:pStyle w:val="Nessunaspaziatura"/>
        <w:spacing w:line="360" w:lineRule="auto"/>
        <w:jc w:val="center"/>
        <w:rPr>
          <w:rFonts w:ascii="Arial" w:hAnsi="Arial" w:cs="Arial"/>
          <w:bCs/>
          <w:iCs/>
          <w:color w:val="003F7E"/>
          <w:sz w:val="16"/>
          <w:szCs w:val="16"/>
        </w:rPr>
      </w:pPr>
      <w:r>
        <w:rPr>
          <w:noProof/>
        </w:rPr>
        <w:drawing>
          <wp:inline distT="0" distB="0" distL="0" distR="0" wp14:anchorId="15A9E128" wp14:editId="312F6C29">
            <wp:extent cx="5438775" cy="2628900"/>
            <wp:effectExtent l="0" t="0" r="9525" b="0"/>
            <wp:docPr id="11" name="Grafico 1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171517" w14:textId="77777777" w:rsidR="00E70684" w:rsidRDefault="00E70684" w:rsidP="00E70684">
      <w:pPr>
        <w:pStyle w:val="Nessunaspaziatura"/>
        <w:spacing w:line="360" w:lineRule="auto"/>
        <w:ind w:firstLine="993"/>
        <w:jc w:val="both"/>
        <w:rPr>
          <w:rFonts w:ascii="Arial" w:hAnsi="Arial" w:cs="Arial"/>
          <w:bCs/>
          <w:iCs/>
          <w:color w:val="003F7E"/>
          <w:sz w:val="16"/>
          <w:szCs w:val="16"/>
        </w:rPr>
      </w:pPr>
      <w:r w:rsidRPr="00D63429">
        <w:rPr>
          <w:rFonts w:ascii="Arial" w:hAnsi="Arial" w:cs="Arial"/>
          <w:bCs/>
          <w:iCs/>
          <w:color w:val="003F7E"/>
          <w:sz w:val="16"/>
          <w:szCs w:val="16"/>
        </w:rPr>
        <w:t>Fonte: elaborazione C.S. Fipe su dati Istat</w:t>
      </w:r>
    </w:p>
    <w:p w14:paraId="7D90E8B2" w14:textId="77777777" w:rsidR="00E70684" w:rsidRDefault="00E70684" w:rsidP="00E70684">
      <w:pPr>
        <w:spacing w:line="360" w:lineRule="auto"/>
        <w:jc w:val="center"/>
        <w:rPr>
          <w:rFonts w:ascii="Garamond" w:hAnsi="Garamond"/>
          <w:b/>
          <w:color w:val="003F7E"/>
        </w:rPr>
      </w:pPr>
    </w:p>
    <w:p w14:paraId="3B3BF099" w14:textId="77777777" w:rsidR="00E70684" w:rsidRDefault="00E70684" w:rsidP="00E70684">
      <w:pPr>
        <w:spacing w:line="360" w:lineRule="auto"/>
        <w:jc w:val="center"/>
        <w:rPr>
          <w:rFonts w:ascii="Garamond" w:hAnsi="Garamond"/>
          <w:b/>
          <w:color w:val="003F7E"/>
        </w:rPr>
      </w:pPr>
      <w:r w:rsidRPr="00B5707D">
        <w:rPr>
          <w:rFonts w:ascii="Garamond" w:hAnsi="Garamond"/>
          <w:b/>
          <w:color w:val="003F7E"/>
        </w:rPr>
        <w:t>* * *</w:t>
      </w:r>
      <w:r>
        <w:rPr>
          <w:rFonts w:ascii="Garamond" w:hAnsi="Garamond"/>
          <w:b/>
          <w:color w:val="003F7E"/>
        </w:rPr>
        <w:t xml:space="preserve"> </w:t>
      </w:r>
    </w:p>
    <w:p w14:paraId="7E279EF6" w14:textId="04A33E0A" w:rsidR="00E70684" w:rsidRDefault="00E70684" w:rsidP="00E70684">
      <w:pPr>
        <w:spacing w:line="360" w:lineRule="auto"/>
        <w:jc w:val="both"/>
        <w:rPr>
          <w:rFonts w:ascii="Verdana" w:hAnsi="Verdana"/>
          <w:sz w:val="22"/>
          <w:szCs w:val="22"/>
        </w:rPr>
      </w:pPr>
      <w:r w:rsidRPr="00A95035">
        <w:rPr>
          <w:rFonts w:ascii="Verdana" w:hAnsi="Verdana"/>
          <w:sz w:val="22"/>
          <w:szCs w:val="22"/>
        </w:rPr>
        <w:t xml:space="preserve">Il 2022 è stato </w:t>
      </w:r>
      <w:r>
        <w:rPr>
          <w:rFonts w:ascii="Verdana" w:hAnsi="Verdana"/>
          <w:sz w:val="22"/>
          <w:szCs w:val="22"/>
        </w:rPr>
        <w:t xml:space="preserve">dunque </w:t>
      </w:r>
      <w:r w:rsidRPr="00A95035">
        <w:rPr>
          <w:rFonts w:ascii="Verdana" w:hAnsi="Verdana"/>
          <w:sz w:val="22"/>
          <w:szCs w:val="22"/>
        </w:rPr>
        <w:t>un anno importante per la ristorazione</w:t>
      </w:r>
      <w:r>
        <w:rPr>
          <w:rFonts w:ascii="Verdana" w:hAnsi="Verdana"/>
          <w:sz w:val="22"/>
          <w:szCs w:val="22"/>
        </w:rPr>
        <w:t xml:space="preserve"> con </w:t>
      </w:r>
      <w:r w:rsidRPr="00A95035">
        <w:rPr>
          <w:rFonts w:ascii="Verdana" w:hAnsi="Verdana"/>
          <w:sz w:val="22"/>
          <w:szCs w:val="22"/>
        </w:rPr>
        <w:t xml:space="preserve">un ulteriore balzo in avanti </w:t>
      </w:r>
      <w:r>
        <w:rPr>
          <w:rFonts w:ascii="Verdana" w:hAnsi="Verdana"/>
          <w:sz w:val="22"/>
          <w:szCs w:val="22"/>
        </w:rPr>
        <w:t xml:space="preserve">verso il recupero, sebbene non ancora totale, </w:t>
      </w:r>
      <w:r w:rsidRPr="00A95035">
        <w:rPr>
          <w:rFonts w:ascii="Verdana" w:hAnsi="Verdana"/>
          <w:sz w:val="22"/>
          <w:szCs w:val="22"/>
        </w:rPr>
        <w:t xml:space="preserve">delle perdite subite durante la pandemia. </w:t>
      </w:r>
      <w:r>
        <w:rPr>
          <w:rFonts w:ascii="Verdana" w:hAnsi="Verdana"/>
          <w:sz w:val="22"/>
          <w:szCs w:val="22"/>
        </w:rPr>
        <w:t>P</w:t>
      </w:r>
      <w:r w:rsidRPr="00A95035">
        <w:rPr>
          <w:rFonts w:ascii="Verdana" w:hAnsi="Verdana"/>
          <w:sz w:val="22"/>
          <w:szCs w:val="22"/>
        </w:rPr>
        <w:t xml:space="preserve">er un ristorante su tre il risultato economico è migliorato mentre per poco più della metà è rimasto sui livelli del 2021. Soltanto </w:t>
      </w:r>
      <w:r>
        <w:rPr>
          <w:rFonts w:ascii="Verdana" w:hAnsi="Verdana"/>
          <w:sz w:val="22"/>
          <w:szCs w:val="22"/>
        </w:rPr>
        <w:t xml:space="preserve">per </w:t>
      </w:r>
      <w:r w:rsidRPr="00A95035">
        <w:rPr>
          <w:rFonts w:ascii="Verdana" w:hAnsi="Verdana"/>
          <w:sz w:val="22"/>
          <w:szCs w:val="22"/>
        </w:rPr>
        <w:t>l’11% delle imprese il 2022 non è stato migliore dell’anno precedente.</w:t>
      </w:r>
    </w:p>
    <w:p w14:paraId="510A3F73" w14:textId="77777777" w:rsidR="00E70684" w:rsidRPr="00CE117A" w:rsidRDefault="00E70684" w:rsidP="00E70684">
      <w:pPr>
        <w:spacing w:line="360" w:lineRule="auto"/>
        <w:jc w:val="both"/>
        <w:rPr>
          <w:rFonts w:ascii="Verdana" w:hAnsi="Verdana"/>
          <w:sz w:val="22"/>
          <w:szCs w:val="22"/>
        </w:rPr>
      </w:pPr>
      <w:r w:rsidRPr="00CE117A">
        <w:rPr>
          <w:rFonts w:ascii="Verdana" w:hAnsi="Verdana"/>
          <w:sz w:val="22"/>
          <w:szCs w:val="22"/>
        </w:rPr>
        <w:t>Gli imprenditori che operano nel segmento bar sembrano più ottimisti dei colleghi che gestiscono i ristoranti. Oltre il 38% da un giudizio positivo sull’andamento dell’attività nel corso del 2022 e per appena il 6,2% le cose sono andate peggio. Tuttavia è la stazionarietà della performance ad avere la netta prevalenza.</w:t>
      </w:r>
    </w:p>
    <w:p w14:paraId="1130FC5E" w14:textId="77777777" w:rsidR="00E70684" w:rsidRPr="00A95035" w:rsidRDefault="00E70684" w:rsidP="00E70684">
      <w:pPr>
        <w:spacing w:line="360" w:lineRule="auto"/>
        <w:jc w:val="both"/>
        <w:rPr>
          <w:rFonts w:ascii="Verdana" w:hAnsi="Verdana"/>
          <w:sz w:val="22"/>
          <w:szCs w:val="22"/>
        </w:rPr>
      </w:pPr>
      <w:r w:rsidRPr="00A95035">
        <w:rPr>
          <w:rFonts w:ascii="Verdana" w:hAnsi="Verdana"/>
          <w:sz w:val="22"/>
          <w:szCs w:val="22"/>
        </w:rPr>
        <w:t xml:space="preserve">Anche per l’anno in corso le previsioni delle imprese sono incoraggianti. Il 70% </w:t>
      </w:r>
      <w:r>
        <w:rPr>
          <w:rFonts w:ascii="Verdana" w:hAnsi="Verdana"/>
          <w:sz w:val="22"/>
          <w:szCs w:val="22"/>
        </w:rPr>
        <w:t xml:space="preserve">dei ristoranti </w:t>
      </w:r>
      <w:r w:rsidRPr="00A95035">
        <w:rPr>
          <w:rFonts w:ascii="Verdana" w:hAnsi="Verdana"/>
          <w:sz w:val="22"/>
          <w:szCs w:val="22"/>
        </w:rPr>
        <w:t>ritiene di mantenere gli obiettivi conseguiti nel 2022 ma ben 1 su 4 pensa di migliorarli</w:t>
      </w:r>
      <w:r>
        <w:rPr>
          <w:rFonts w:ascii="Verdana" w:hAnsi="Verdana"/>
          <w:sz w:val="22"/>
          <w:szCs w:val="22"/>
        </w:rPr>
        <w:t xml:space="preserve"> e per i bar </w:t>
      </w:r>
      <w:r w:rsidRPr="00CE117A">
        <w:rPr>
          <w:rFonts w:ascii="Verdana" w:hAnsi="Verdana"/>
          <w:sz w:val="22"/>
          <w:szCs w:val="22"/>
        </w:rPr>
        <w:t>il saldo delle risposte tra chi vede prospettive di crescita e chi, al contrario, ritiene di perdere posizioni è positivo per oltre 7 punti percentuali.</w:t>
      </w:r>
    </w:p>
    <w:p w14:paraId="1F4E509B" w14:textId="77777777" w:rsidR="00E70684" w:rsidRDefault="00E70684" w:rsidP="00E70684">
      <w:pPr>
        <w:spacing w:line="360" w:lineRule="auto"/>
        <w:jc w:val="both"/>
        <w:rPr>
          <w:rFonts w:ascii="Verdana" w:hAnsi="Verdana"/>
          <w:sz w:val="22"/>
          <w:szCs w:val="22"/>
        </w:rPr>
      </w:pPr>
      <w:r w:rsidRPr="00A95035">
        <w:rPr>
          <w:rFonts w:ascii="Verdana" w:hAnsi="Verdana"/>
          <w:sz w:val="22"/>
          <w:szCs w:val="22"/>
        </w:rPr>
        <w:t>C’è un clima positivo intorno alla ristorazione italiana. Nove imprenditori su dieci dicono di essere fiduciosi sul futuro anche se occorre far fronte agli importanti cambiamenti che la pandemia ha generato.</w:t>
      </w:r>
    </w:p>
    <w:p w14:paraId="1A771577" w14:textId="34D21E55" w:rsidR="00E70684" w:rsidRDefault="00E70684" w:rsidP="00E70684">
      <w:pPr>
        <w:spacing w:line="360" w:lineRule="auto"/>
        <w:jc w:val="both"/>
        <w:rPr>
          <w:rFonts w:ascii="Verdana" w:hAnsi="Verdana"/>
          <w:sz w:val="22"/>
          <w:szCs w:val="22"/>
        </w:rPr>
      </w:pPr>
      <w:r>
        <w:rPr>
          <w:rFonts w:ascii="Verdana" w:hAnsi="Verdana"/>
          <w:sz w:val="22"/>
          <w:szCs w:val="22"/>
        </w:rPr>
        <w:t>Ed è proprio nei modelli di business della ristorazione italiana che vanno ricercati i punti di forza e di debolezza.</w:t>
      </w:r>
    </w:p>
    <w:p w14:paraId="7BE26902" w14:textId="37E37287" w:rsidR="00A76B3B" w:rsidRDefault="00A76B3B" w:rsidP="00E70684">
      <w:pPr>
        <w:spacing w:line="360" w:lineRule="auto"/>
        <w:jc w:val="both"/>
        <w:rPr>
          <w:rFonts w:ascii="Verdana" w:hAnsi="Verdana"/>
          <w:sz w:val="22"/>
          <w:szCs w:val="22"/>
        </w:rPr>
      </w:pPr>
    </w:p>
    <w:p w14:paraId="2BAD882D" w14:textId="77777777" w:rsidR="00A76B3B" w:rsidRDefault="00A76B3B" w:rsidP="00E70684">
      <w:pPr>
        <w:spacing w:line="360" w:lineRule="auto"/>
        <w:jc w:val="both"/>
        <w:rPr>
          <w:rFonts w:ascii="Verdana" w:hAnsi="Verdana"/>
          <w:sz w:val="22"/>
          <w:szCs w:val="22"/>
        </w:rPr>
      </w:pPr>
    </w:p>
    <w:p w14:paraId="5B80EA23" w14:textId="1BC2DC1F" w:rsidR="00E70684" w:rsidRDefault="00E70684" w:rsidP="00E70684">
      <w:pPr>
        <w:spacing w:line="360" w:lineRule="auto"/>
        <w:jc w:val="both"/>
        <w:rPr>
          <w:rFonts w:ascii="Verdana" w:hAnsi="Verdana"/>
          <w:bCs/>
          <w:sz w:val="22"/>
          <w:szCs w:val="22"/>
        </w:rPr>
      </w:pPr>
      <w:r>
        <w:rPr>
          <w:rFonts w:ascii="Arial" w:hAnsi="Arial" w:cs="Arial"/>
          <w:b/>
          <w:bCs/>
          <w:color w:val="003F7E"/>
          <w:sz w:val="20"/>
          <w:szCs w:val="22"/>
        </w:rPr>
        <w:t>Andamento economico dell’impresa</w:t>
      </w:r>
    </w:p>
    <w:p w14:paraId="7BA33899" w14:textId="77777777" w:rsidR="00E70684" w:rsidRPr="00CE117A" w:rsidRDefault="00E70684" w:rsidP="00E70684">
      <w:pPr>
        <w:spacing w:line="360" w:lineRule="auto"/>
        <w:jc w:val="both"/>
        <w:rPr>
          <w:rFonts w:ascii="Verdana" w:hAnsi="Verdana"/>
          <w:b/>
          <w:sz w:val="20"/>
          <w:szCs w:val="20"/>
        </w:rPr>
      </w:pPr>
      <w:r w:rsidRPr="00CE117A">
        <w:rPr>
          <w:rFonts w:ascii="Verdana" w:hAnsi="Verdana"/>
          <w:b/>
          <w:sz w:val="22"/>
          <w:szCs w:val="22"/>
        </w:rPr>
        <w:lastRenderedPageBreak/>
        <w:t>Ristoranti</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Bar</w:t>
      </w:r>
    </w:p>
    <w:p w14:paraId="3FBF3766" w14:textId="77777777" w:rsidR="00E70684" w:rsidRDefault="00E70684" w:rsidP="00E70684">
      <w:pPr>
        <w:spacing w:line="360" w:lineRule="auto"/>
        <w:rPr>
          <w:rFonts w:ascii="Garamond" w:hAnsi="Garamond"/>
          <w:b/>
          <w:color w:val="003F7E"/>
        </w:rPr>
      </w:pPr>
      <w:r>
        <w:rPr>
          <w:noProof/>
        </w:rPr>
        <w:drawing>
          <wp:inline distT="0" distB="0" distL="0" distR="0" wp14:anchorId="1B64886B" wp14:editId="7AD22F5C">
            <wp:extent cx="2819400" cy="2249848"/>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640" t="7635" b="14307"/>
                    <a:stretch/>
                  </pic:blipFill>
                  <pic:spPr bwMode="auto">
                    <a:xfrm>
                      <a:off x="0" y="0"/>
                      <a:ext cx="2855033" cy="2278283"/>
                    </a:xfrm>
                    <a:prstGeom prst="rect">
                      <a:avLst/>
                    </a:prstGeom>
                    <a:noFill/>
                    <a:ln>
                      <a:noFill/>
                    </a:ln>
                    <a:extLst>
                      <a:ext uri="{53640926-AAD7-44D8-BBD7-CCE9431645EC}">
                        <a14:shadowObscured xmlns:a14="http://schemas.microsoft.com/office/drawing/2010/main"/>
                      </a:ext>
                    </a:extLst>
                  </pic:spPr>
                </pic:pic>
              </a:graphicData>
            </a:graphic>
          </wp:inline>
        </w:drawing>
      </w:r>
      <w:r>
        <w:rPr>
          <w:b/>
          <w:bCs/>
          <w:noProof/>
        </w:rPr>
        <w:drawing>
          <wp:inline distT="0" distB="0" distL="0" distR="0" wp14:anchorId="6C6FC8FE" wp14:editId="177E99C2">
            <wp:extent cx="2847975" cy="2316243"/>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228" t="10662" b="21163"/>
                    <a:stretch/>
                  </pic:blipFill>
                  <pic:spPr bwMode="auto">
                    <a:xfrm>
                      <a:off x="0" y="0"/>
                      <a:ext cx="2880005" cy="2342292"/>
                    </a:xfrm>
                    <a:prstGeom prst="rect">
                      <a:avLst/>
                    </a:prstGeom>
                    <a:noFill/>
                    <a:ln>
                      <a:noFill/>
                    </a:ln>
                    <a:extLst>
                      <a:ext uri="{53640926-AAD7-44D8-BBD7-CCE9431645EC}">
                        <a14:shadowObscured xmlns:a14="http://schemas.microsoft.com/office/drawing/2010/main"/>
                      </a:ext>
                    </a:extLst>
                  </pic:spPr>
                </pic:pic>
              </a:graphicData>
            </a:graphic>
          </wp:inline>
        </w:drawing>
      </w:r>
    </w:p>
    <w:p w14:paraId="25BD1A99" w14:textId="77777777" w:rsidR="00E70684" w:rsidRDefault="00E70684" w:rsidP="00E70684">
      <w:pPr>
        <w:spacing w:after="160" w:line="259" w:lineRule="auto"/>
        <w:rPr>
          <w:rFonts w:ascii="Garamond" w:hAnsi="Garamond"/>
          <w:b/>
          <w:color w:val="003F7E"/>
        </w:rPr>
      </w:pPr>
    </w:p>
    <w:p w14:paraId="62B2318D" w14:textId="77777777" w:rsidR="00E70684" w:rsidRPr="00884916" w:rsidRDefault="00E70684" w:rsidP="00E70684">
      <w:pPr>
        <w:spacing w:line="360" w:lineRule="auto"/>
        <w:jc w:val="both"/>
        <w:rPr>
          <w:rFonts w:ascii="Verdana" w:hAnsi="Verdana"/>
          <w:b/>
          <w:color w:val="003F7E"/>
          <w:sz w:val="22"/>
          <w:szCs w:val="22"/>
        </w:rPr>
      </w:pPr>
      <w:r w:rsidRPr="00884916">
        <w:rPr>
          <w:rFonts w:ascii="Verdana" w:hAnsi="Verdana"/>
          <w:sz w:val="22"/>
          <w:szCs w:val="22"/>
        </w:rPr>
        <w:t xml:space="preserve">Siamo dinanzi ad un settore in cui l’imprenditore è anzitutto un lavoratore. Il 93,8% di essi, infatti, svolge la propria attività lavorativa all’interno del proprio ristorante, mentre nei bar </w:t>
      </w:r>
      <w:r>
        <w:rPr>
          <w:rFonts w:ascii="Verdana" w:hAnsi="Verdana"/>
          <w:sz w:val="22"/>
          <w:szCs w:val="22"/>
        </w:rPr>
        <w:t>ne</w:t>
      </w:r>
      <w:r w:rsidRPr="00884916">
        <w:rPr>
          <w:rFonts w:ascii="Verdana" w:hAnsi="Verdana"/>
          <w:sz w:val="22"/>
          <w:szCs w:val="22"/>
        </w:rPr>
        <w:t xml:space="preserve">l </w:t>
      </w:r>
      <w:r w:rsidRPr="00884916">
        <w:rPr>
          <w:rFonts w:ascii="Verdana" w:hAnsi="Verdana"/>
          <w:bCs/>
          <w:sz w:val="22"/>
          <w:szCs w:val="22"/>
        </w:rPr>
        <w:t xml:space="preserve">91,9% dei casi </w:t>
      </w:r>
      <w:r w:rsidRPr="00884916">
        <w:rPr>
          <w:rFonts w:ascii="Verdana" w:hAnsi="Verdana"/>
          <w:sz w:val="22"/>
          <w:szCs w:val="22"/>
        </w:rPr>
        <w:t>è</w:t>
      </w:r>
      <w:r w:rsidRPr="00884916">
        <w:rPr>
          <w:rFonts w:ascii="Verdana" w:hAnsi="Verdana"/>
          <w:bCs/>
          <w:sz w:val="22"/>
          <w:szCs w:val="22"/>
        </w:rPr>
        <w:t xml:space="preserve"> il titolar</w:t>
      </w:r>
      <w:r>
        <w:rPr>
          <w:rFonts w:ascii="Verdana" w:hAnsi="Verdana"/>
          <w:bCs/>
          <w:sz w:val="22"/>
          <w:szCs w:val="22"/>
        </w:rPr>
        <w:t>e</w:t>
      </w:r>
      <w:r w:rsidRPr="00884916">
        <w:rPr>
          <w:rFonts w:ascii="Verdana" w:hAnsi="Verdana"/>
          <w:bCs/>
          <w:sz w:val="22"/>
          <w:szCs w:val="22"/>
        </w:rPr>
        <w:t xml:space="preserve"> ad essere direttamente occupato in azienda.</w:t>
      </w:r>
    </w:p>
    <w:p w14:paraId="0A3BD56C" w14:textId="5212F44C" w:rsidR="00E70684" w:rsidRPr="00621F9B" w:rsidRDefault="00E70684" w:rsidP="00E70684">
      <w:pPr>
        <w:spacing w:line="360" w:lineRule="auto"/>
        <w:jc w:val="both"/>
        <w:rPr>
          <w:rFonts w:ascii="Verdana" w:hAnsi="Verdana"/>
          <w:sz w:val="22"/>
          <w:szCs w:val="22"/>
        </w:rPr>
      </w:pPr>
      <w:r w:rsidRPr="00621F9B">
        <w:rPr>
          <w:rFonts w:ascii="Verdana" w:hAnsi="Verdana"/>
          <w:sz w:val="22"/>
          <w:szCs w:val="22"/>
        </w:rPr>
        <w:t>E anche l’intensità dell’impegno non è banale. Un imprenditore su due lavora all’interno del proprio ristorante per oltre 9 ore al giorno e uno su tre oltre 10 ore. La media è di 9 ore al giorno. Nei bar il 70% dei titolari lavora oltre 9 ore al giorno e il 35% oltre 10 ore.</w:t>
      </w:r>
      <w:r>
        <w:rPr>
          <w:rFonts w:ascii="Verdana" w:hAnsi="Verdana"/>
          <w:sz w:val="22"/>
          <w:szCs w:val="22"/>
        </w:rPr>
        <w:t xml:space="preserve"> </w:t>
      </w:r>
      <w:r w:rsidRPr="00621F9B">
        <w:rPr>
          <w:rFonts w:ascii="Verdana" w:hAnsi="Verdana"/>
          <w:sz w:val="22"/>
          <w:szCs w:val="22"/>
        </w:rPr>
        <w:t>L’orario di servizio è il punto centrale intorno al quale si snoda l’organizzazione del ristorante</w:t>
      </w:r>
      <w:r>
        <w:rPr>
          <w:rFonts w:ascii="Verdana" w:hAnsi="Verdana"/>
          <w:sz w:val="22"/>
          <w:szCs w:val="22"/>
        </w:rPr>
        <w:t xml:space="preserve">. </w:t>
      </w:r>
      <w:r w:rsidRPr="00621F9B">
        <w:rPr>
          <w:rFonts w:ascii="Verdana" w:hAnsi="Verdana"/>
          <w:sz w:val="22"/>
          <w:szCs w:val="22"/>
        </w:rPr>
        <w:t>Una delle complicazioni maggiori insite nel modello di consumo della ristorazione è la forte concentrazione della domanda nel fine settimana. Spesso si fa fatica a capire che un ristorante pieno la sera del venerdì o del sabato non vuol dire che sia pieno anche il martedì o il mercoledì. Da qui deriva la necessità di avere un’organizzazione del lavoro flessibile e soprattutto la capacità dell’imprenditore di capire qual è il modello di impiego del personale più adatto alla sua proposta di servizio.</w:t>
      </w:r>
    </w:p>
    <w:p w14:paraId="34774E20" w14:textId="57ABCCE3" w:rsidR="00E70684" w:rsidRDefault="00E70684" w:rsidP="00E70684">
      <w:pPr>
        <w:spacing w:line="360" w:lineRule="auto"/>
        <w:jc w:val="both"/>
        <w:rPr>
          <w:rFonts w:ascii="Verdana" w:hAnsi="Verdana"/>
          <w:sz w:val="22"/>
          <w:szCs w:val="22"/>
        </w:rPr>
      </w:pPr>
      <w:r w:rsidRPr="00621F9B">
        <w:rPr>
          <w:rFonts w:ascii="Verdana" w:hAnsi="Verdana"/>
          <w:sz w:val="22"/>
          <w:szCs w:val="22"/>
        </w:rPr>
        <w:t xml:space="preserve">Nei ristoranti il 62% dei ricavi si realizza tra venerdì e sabato e il 60% a cena. Ovviamente questo dipende anche dal segmento di ristorazione nel quale si opera. </w:t>
      </w:r>
      <w:r w:rsidR="00100A09">
        <w:rPr>
          <w:rFonts w:ascii="Verdana" w:hAnsi="Verdana"/>
          <w:sz w:val="22"/>
          <w:szCs w:val="22"/>
        </w:rPr>
        <w:t>Il mercato di una</w:t>
      </w:r>
      <w:r w:rsidRPr="00621F9B">
        <w:rPr>
          <w:rFonts w:ascii="Verdana" w:hAnsi="Verdana"/>
          <w:sz w:val="22"/>
          <w:szCs w:val="22"/>
        </w:rPr>
        <w:t xml:space="preserve"> pizzeria è ben diverso </w:t>
      </w:r>
      <w:r w:rsidR="00100A09">
        <w:rPr>
          <w:rFonts w:ascii="Verdana" w:hAnsi="Verdana"/>
          <w:sz w:val="22"/>
          <w:szCs w:val="22"/>
        </w:rPr>
        <w:t>da quello della</w:t>
      </w:r>
      <w:r w:rsidRPr="00621F9B">
        <w:rPr>
          <w:rFonts w:ascii="Verdana" w:hAnsi="Verdana"/>
          <w:sz w:val="22"/>
          <w:szCs w:val="22"/>
        </w:rPr>
        <w:t xml:space="preserve"> ristorazione veloce.</w:t>
      </w:r>
    </w:p>
    <w:p w14:paraId="15503399" w14:textId="0FCA5A5D" w:rsidR="004B6160" w:rsidRDefault="004B6160" w:rsidP="00E70684">
      <w:pPr>
        <w:spacing w:line="360" w:lineRule="auto"/>
        <w:jc w:val="both"/>
        <w:rPr>
          <w:rFonts w:ascii="Verdana" w:hAnsi="Verdana"/>
          <w:sz w:val="22"/>
          <w:szCs w:val="22"/>
        </w:rPr>
      </w:pPr>
    </w:p>
    <w:p w14:paraId="60F9587B" w14:textId="77777777" w:rsidR="0046436A" w:rsidRDefault="0046436A" w:rsidP="00E70684">
      <w:pPr>
        <w:spacing w:line="360" w:lineRule="auto"/>
        <w:jc w:val="both"/>
        <w:rPr>
          <w:rFonts w:ascii="Verdana" w:hAnsi="Verdana"/>
          <w:sz w:val="22"/>
          <w:szCs w:val="22"/>
        </w:rPr>
      </w:pPr>
    </w:p>
    <w:p w14:paraId="3E2CA8A4" w14:textId="524E70C5" w:rsidR="004B6160" w:rsidRDefault="004B6160" w:rsidP="00E70684">
      <w:pPr>
        <w:spacing w:line="360" w:lineRule="auto"/>
        <w:jc w:val="both"/>
        <w:rPr>
          <w:rFonts w:ascii="Verdana" w:hAnsi="Verdana"/>
          <w:sz w:val="22"/>
          <w:szCs w:val="22"/>
        </w:rPr>
      </w:pPr>
    </w:p>
    <w:p w14:paraId="26492390" w14:textId="74E004CA" w:rsidR="004B6160" w:rsidRDefault="004B6160" w:rsidP="00E70684">
      <w:pPr>
        <w:spacing w:line="360" w:lineRule="auto"/>
        <w:jc w:val="both"/>
        <w:rPr>
          <w:rFonts w:ascii="Verdana" w:hAnsi="Verdana"/>
          <w:sz w:val="22"/>
          <w:szCs w:val="22"/>
        </w:rPr>
      </w:pPr>
    </w:p>
    <w:p w14:paraId="5124C1E7" w14:textId="0A2F92F6" w:rsidR="00100A09" w:rsidRDefault="00100A09" w:rsidP="00E70684">
      <w:pPr>
        <w:spacing w:line="360" w:lineRule="auto"/>
        <w:jc w:val="both"/>
        <w:rPr>
          <w:rFonts w:ascii="Verdana" w:hAnsi="Verdana"/>
          <w:sz w:val="22"/>
          <w:szCs w:val="22"/>
        </w:rPr>
      </w:pPr>
    </w:p>
    <w:p w14:paraId="5E25AB40" w14:textId="77777777" w:rsidR="00100A09" w:rsidRDefault="00100A09" w:rsidP="00E70684">
      <w:pPr>
        <w:spacing w:line="360" w:lineRule="auto"/>
        <w:jc w:val="both"/>
        <w:rPr>
          <w:rFonts w:ascii="Verdana" w:hAnsi="Verdana"/>
          <w:sz w:val="22"/>
          <w:szCs w:val="22"/>
        </w:rPr>
      </w:pPr>
    </w:p>
    <w:p w14:paraId="5FFCFCD0" w14:textId="77777777" w:rsidR="00E70684" w:rsidRDefault="00E70684" w:rsidP="00E70684">
      <w:pPr>
        <w:spacing w:line="360" w:lineRule="auto"/>
        <w:jc w:val="both"/>
        <w:rPr>
          <w:rFonts w:ascii="Verdana" w:hAnsi="Verdana"/>
          <w:sz w:val="22"/>
          <w:szCs w:val="22"/>
        </w:rPr>
      </w:pPr>
    </w:p>
    <w:p w14:paraId="077B9394" w14:textId="1D83518D" w:rsidR="00E70684" w:rsidRDefault="00E70684" w:rsidP="00E70684">
      <w:pPr>
        <w:spacing w:line="360" w:lineRule="auto"/>
        <w:jc w:val="both"/>
        <w:rPr>
          <w:rFonts w:ascii="Verdana" w:hAnsi="Verdana"/>
          <w:sz w:val="22"/>
          <w:szCs w:val="22"/>
        </w:rPr>
      </w:pPr>
      <w:r>
        <w:rPr>
          <w:rFonts w:ascii="Arial" w:hAnsi="Arial" w:cs="Arial"/>
          <w:b/>
          <w:bCs/>
          <w:color w:val="003F7E"/>
          <w:sz w:val="20"/>
          <w:szCs w:val="22"/>
        </w:rPr>
        <w:t>I giorni di apertura dei ristoranti</w:t>
      </w:r>
    </w:p>
    <w:p w14:paraId="2AD94A57" w14:textId="77777777" w:rsidR="00E70684" w:rsidRDefault="00E70684" w:rsidP="00E70684">
      <w:pPr>
        <w:spacing w:line="360" w:lineRule="auto"/>
        <w:jc w:val="both"/>
        <w:rPr>
          <w:rFonts w:ascii="Verdana" w:hAnsi="Verdana"/>
          <w:sz w:val="22"/>
          <w:szCs w:val="22"/>
        </w:rPr>
      </w:pPr>
      <w:r>
        <w:rPr>
          <w:noProof/>
        </w:rPr>
        <w:lastRenderedPageBreak/>
        <w:drawing>
          <wp:inline distT="0" distB="0" distL="0" distR="0" wp14:anchorId="6EDD6717" wp14:editId="3EC8BF5D">
            <wp:extent cx="3062086" cy="1571625"/>
            <wp:effectExtent l="0" t="0" r="508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1938" cy="1581814"/>
                    </a:xfrm>
                    <a:prstGeom prst="rect">
                      <a:avLst/>
                    </a:prstGeom>
                    <a:noFill/>
                  </pic:spPr>
                </pic:pic>
              </a:graphicData>
            </a:graphic>
          </wp:inline>
        </w:drawing>
      </w:r>
      <w:r>
        <w:rPr>
          <w:noProof/>
        </w:rPr>
        <w:drawing>
          <wp:inline distT="0" distB="0" distL="0" distR="0" wp14:anchorId="36621CBE" wp14:editId="6CF56336">
            <wp:extent cx="2324100" cy="2046389"/>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4403" t="7737" r="6832" b="4197"/>
                    <a:stretch/>
                  </pic:blipFill>
                  <pic:spPr bwMode="auto">
                    <a:xfrm>
                      <a:off x="0" y="0"/>
                      <a:ext cx="2395968" cy="2109669"/>
                    </a:xfrm>
                    <a:prstGeom prst="rect">
                      <a:avLst/>
                    </a:prstGeom>
                    <a:noFill/>
                    <a:ln>
                      <a:noFill/>
                    </a:ln>
                    <a:extLst>
                      <a:ext uri="{53640926-AAD7-44D8-BBD7-CCE9431645EC}">
                        <a14:shadowObscured xmlns:a14="http://schemas.microsoft.com/office/drawing/2010/main"/>
                      </a:ext>
                    </a:extLst>
                  </pic:spPr>
                </pic:pic>
              </a:graphicData>
            </a:graphic>
          </wp:inline>
        </w:drawing>
      </w:r>
    </w:p>
    <w:p w14:paraId="6D05C092" w14:textId="77777777" w:rsidR="00E70684" w:rsidRPr="00621F9B" w:rsidRDefault="00E70684" w:rsidP="00E70684">
      <w:pPr>
        <w:spacing w:line="360" w:lineRule="auto"/>
        <w:jc w:val="both"/>
        <w:rPr>
          <w:rFonts w:ascii="Verdana" w:hAnsi="Verdana"/>
          <w:sz w:val="22"/>
          <w:szCs w:val="22"/>
        </w:rPr>
      </w:pPr>
    </w:p>
    <w:p w14:paraId="10B9A07F" w14:textId="77777777" w:rsidR="00E70684" w:rsidRPr="00621F9B" w:rsidRDefault="00E70684" w:rsidP="00E70684">
      <w:pPr>
        <w:spacing w:line="360" w:lineRule="auto"/>
        <w:jc w:val="both"/>
        <w:rPr>
          <w:rFonts w:ascii="Verdana" w:hAnsi="Verdana"/>
          <w:sz w:val="22"/>
          <w:szCs w:val="22"/>
        </w:rPr>
      </w:pPr>
      <w:r w:rsidRPr="00621F9B">
        <w:rPr>
          <w:rFonts w:ascii="Verdana" w:hAnsi="Verdana"/>
          <w:sz w:val="22"/>
          <w:szCs w:val="22"/>
        </w:rPr>
        <w:t xml:space="preserve">Il bar italiano si caratterizza per l’elevato livello di servizio che è fatto principalmente da due variabili: prossimità e orari di apertura. </w:t>
      </w:r>
    </w:p>
    <w:p w14:paraId="3C4EDA90" w14:textId="1A112E87" w:rsidR="00E70684" w:rsidRDefault="00E70684" w:rsidP="00E70684">
      <w:pPr>
        <w:spacing w:line="360" w:lineRule="auto"/>
        <w:jc w:val="both"/>
        <w:rPr>
          <w:rFonts w:ascii="Verdana" w:hAnsi="Verdana"/>
          <w:sz w:val="22"/>
          <w:szCs w:val="22"/>
        </w:rPr>
      </w:pPr>
      <w:r w:rsidRPr="00621F9B">
        <w:rPr>
          <w:rFonts w:ascii="Verdana" w:hAnsi="Verdana"/>
          <w:sz w:val="22"/>
          <w:szCs w:val="22"/>
        </w:rPr>
        <w:t>Insomma un’attività d’impresa estremamente impegnativa che richiede molto lavoro e che non sempre risulta adeguatamente remunerativa. A fare bene i conti si scopre che con caffè e cappuccini che oscillano tra 1 euro e 1,50 euro è già difficile raggiungere il punto di equilibrio tra costi e ricavi, figuriamoci assicurare la giusta redditività.</w:t>
      </w:r>
    </w:p>
    <w:p w14:paraId="3823A985" w14:textId="77777777" w:rsidR="00E70684" w:rsidRDefault="00E70684" w:rsidP="00E70684">
      <w:pPr>
        <w:spacing w:line="360" w:lineRule="auto"/>
        <w:jc w:val="both"/>
        <w:rPr>
          <w:rFonts w:ascii="Verdana" w:hAnsi="Verdana"/>
          <w:sz w:val="22"/>
          <w:szCs w:val="22"/>
        </w:rPr>
      </w:pPr>
    </w:p>
    <w:p w14:paraId="4B2B19AC" w14:textId="2F31CDF7" w:rsidR="00E70684" w:rsidRPr="00621F9B" w:rsidRDefault="00E70684" w:rsidP="00E70684">
      <w:pPr>
        <w:spacing w:line="360" w:lineRule="auto"/>
        <w:jc w:val="both"/>
        <w:rPr>
          <w:rFonts w:ascii="Verdana" w:hAnsi="Verdana"/>
          <w:sz w:val="22"/>
          <w:szCs w:val="22"/>
        </w:rPr>
      </w:pPr>
      <w:r>
        <w:rPr>
          <w:rFonts w:ascii="Arial" w:hAnsi="Arial" w:cs="Arial"/>
          <w:b/>
          <w:bCs/>
          <w:color w:val="003F7E"/>
          <w:sz w:val="20"/>
          <w:szCs w:val="22"/>
        </w:rPr>
        <w:t>I giorni di apertura dei bar</w:t>
      </w:r>
    </w:p>
    <w:p w14:paraId="4F84CAD4" w14:textId="77777777" w:rsidR="00E70684" w:rsidRDefault="00E70684" w:rsidP="00E70684">
      <w:pPr>
        <w:spacing w:line="360" w:lineRule="auto"/>
        <w:jc w:val="both"/>
        <w:rPr>
          <w:rFonts w:ascii="Verdana" w:hAnsi="Verdana"/>
          <w:sz w:val="22"/>
          <w:szCs w:val="22"/>
        </w:rPr>
      </w:pPr>
      <w:r>
        <w:rPr>
          <w:b/>
          <w:bCs/>
          <w:noProof/>
        </w:rPr>
        <w:drawing>
          <wp:inline distT="0" distB="0" distL="0" distR="0" wp14:anchorId="1CEC05AE" wp14:editId="25A2AFD1">
            <wp:extent cx="2590800" cy="1699564"/>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8714" t="16869" r="13483" b="26087"/>
                    <a:stretch/>
                  </pic:blipFill>
                  <pic:spPr bwMode="auto">
                    <a:xfrm>
                      <a:off x="0" y="0"/>
                      <a:ext cx="2598849" cy="1704844"/>
                    </a:xfrm>
                    <a:prstGeom prst="rect">
                      <a:avLst/>
                    </a:prstGeom>
                    <a:noFill/>
                    <a:ln>
                      <a:noFill/>
                    </a:ln>
                    <a:extLst>
                      <a:ext uri="{53640926-AAD7-44D8-BBD7-CCE9431645EC}">
                        <a14:shadowObscured xmlns:a14="http://schemas.microsoft.com/office/drawing/2010/main"/>
                      </a:ext>
                    </a:extLst>
                  </pic:spPr>
                </pic:pic>
              </a:graphicData>
            </a:graphic>
          </wp:inline>
        </w:drawing>
      </w:r>
      <w:r>
        <w:rPr>
          <w:b/>
          <w:bCs/>
          <w:noProof/>
        </w:rPr>
        <w:drawing>
          <wp:inline distT="0" distB="0" distL="0" distR="0" wp14:anchorId="6D3FA2F7" wp14:editId="3D5BC6DB">
            <wp:extent cx="2415540" cy="1913059"/>
            <wp:effectExtent l="0" t="0" r="381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1213" cy="1933392"/>
                    </a:xfrm>
                    <a:prstGeom prst="rect">
                      <a:avLst/>
                    </a:prstGeom>
                    <a:noFill/>
                  </pic:spPr>
                </pic:pic>
              </a:graphicData>
            </a:graphic>
          </wp:inline>
        </w:drawing>
      </w:r>
    </w:p>
    <w:p w14:paraId="3465FDB5" w14:textId="77777777" w:rsidR="00E70684" w:rsidRDefault="00E70684" w:rsidP="00E70684">
      <w:pPr>
        <w:spacing w:line="360" w:lineRule="auto"/>
        <w:jc w:val="both"/>
        <w:rPr>
          <w:rFonts w:ascii="Verdana" w:hAnsi="Verdana"/>
          <w:sz w:val="22"/>
          <w:szCs w:val="22"/>
        </w:rPr>
      </w:pPr>
    </w:p>
    <w:p w14:paraId="21F185B5" w14:textId="77777777" w:rsidR="00831BAA" w:rsidRPr="002A0B0F" w:rsidRDefault="00831BAA" w:rsidP="00831BAA">
      <w:pPr>
        <w:spacing w:line="360" w:lineRule="auto"/>
        <w:jc w:val="center"/>
        <w:rPr>
          <w:rFonts w:ascii="Verdana" w:hAnsi="Verdana"/>
          <w:b/>
          <w:color w:val="003F7E"/>
          <w:sz w:val="22"/>
          <w:szCs w:val="22"/>
        </w:rPr>
      </w:pPr>
      <w:r w:rsidRPr="002A0B0F">
        <w:rPr>
          <w:rFonts w:ascii="Verdana" w:hAnsi="Verdana"/>
          <w:b/>
          <w:color w:val="003F7E"/>
          <w:sz w:val="22"/>
          <w:szCs w:val="22"/>
        </w:rPr>
        <w:t xml:space="preserve">* * * </w:t>
      </w:r>
    </w:p>
    <w:p w14:paraId="1B678D64" w14:textId="11090577" w:rsidR="002A0B0F" w:rsidRPr="002A0B0F" w:rsidRDefault="002A0B0F" w:rsidP="002A0B0F">
      <w:pPr>
        <w:spacing w:line="360" w:lineRule="auto"/>
        <w:jc w:val="both"/>
        <w:rPr>
          <w:rFonts w:ascii="Verdana" w:hAnsi="Verdana"/>
          <w:sz w:val="22"/>
          <w:szCs w:val="22"/>
        </w:rPr>
      </w:pPr>
      <w:r w:rsidRPr="002A0B0F">
        <w:rPr>
          <w:rFonts w:ascii="Verdana" w:hAnsi="Verdana"/>
          <w:sz w:val="22"/>
          <w:szCs w:val="22"/>
        </w:rPr>
        <w:t>Il 2022 è stato un anno di stabilizzazione e ritorno alla normalità rispetto all’emergenza Covid per il settore della Ristorazione. Ciò nonostante, alcuni trend strutturali accelerati dalla pandemia, come lo smart-working e il fenomeno del</w:t>
      </w:r>
      <w:r w:rsidR="008653B7">
        <w:rPr>
          <w:rFonts w:ascii="Verdana" w:hAnsi="Verdana"/>
          <w:sz w:val="22"/>
          <w:szCs w:val="22"/>
        </w:rPr>
        <w:t xml:space="preserve"> </w:t>
      </w:r>
      <w:r w:rsidRPr="002A0B0F">
        <w:rPr>
          <w:rFonts w:ascii="Verdana" w:hAnsi="Verdana"/>
          <w:sz w:val="22"/>
          <w:szCs w:val="22"/>
        </w:rPr>
        <w:t xml:space="preserve">delivery </w:t>
      </w:r>
      <w:r w:rsidR="00954067">
        <w:rPr>
          <w:rFonts w:ascii="Verdana" w:hAnsi="Verdana"/>
          <w:sz w:val="22"/>
          <w:szCs w:val="22"/>
        </w:rPr>
        <w:t>si stanno consolidando</w:t>
      </w:r>
      <w:r w:rsidRPr="002A0B0F">
        <w:rPr>
          <w:rFonts w:ascii="Verdana" w:hAnsi="Verdana"/>
          <w:sz w:val="22"/>
          <w:szCs w:val="22"/>
        </w:rPr>
        <w:t xml:space="preserve">, anche se </w:t>
      </w:r>
      <w:r w:rsidR="00954067">
        <w:rPr>
          <w:rFonts w:ascii="Verdana" w:hAnsi="Verdana"/>
          <w:sz w:val="22"/>
          <w:szCs w:val="22"/>
        </w:rPr>
        <w:t xml:space="preserve">su </w:t>
      </w:r>
      <w:r w:rsidRPr="002A0B0F">
        <w:rPr>
          <w:rFonts w:ascii="Verdana" w:hAnsi="Verdana"/>
          <w:sz w:val="22"/>
          <w:szCs w:val="22"/>
        </w:rPr>
        <w:t xml:space="preserve">dimensionati </w:t>
      </w:r>
      <w:r w:rsidR="00954067">
        <w:rPr>
          <w:rFonts w:ascii="Verdana" w:hAnsi="Verdana"/>
          <w:sz w:val="22"/>
          <w:szCs w:val="22"/>
        </w:rPr>
        <w:t>meno rilevanti</w:t>
      </w:r>
      <w:r w:rsidRPr="002A0B0F">
        <w:rPr>
          <w:rFonts w:ascii="Verdana" w:hAnsi="Verdana"/>
          <w:sz w:val="22"/>
          <w:szCs w:val="22"/>
        </w:rPr>
        <w:t>.</w:t>
      </w:r>
    </w:p>
    <w:p w14:paraId="5E0932DF" w14:textId="1C05558D" w:rsidR="00831BAA" w:rsidRPr="002A0B0F" w:rsidRDefault="002A0B0F" w:rsidP="002A0B0F">
      <w:pPr>
        <w:spacing w:line="360" w:lineRule="auto"/>
        <w:jc w:val="both"/>
        <w:rPr>
          <w:rFonts w:ascii="Verdana" w:hAnsi="Verdana"/>
          <w:sz w:val="22"/>
          <w:szCs w:val="22"/>
        </w:rPr>
      </w:pPr>
      <w:r w:rsidRPr="002A0B0F">
        <w:rPr>
          <w:rFonts w:ascii="Verdana" w:hAnsi="Verdana"/>
          <w:sz w:val="22"/>
          <w:szCs w:val="22"/>
        </w:rPr>
        <w:t xml:space="preserve">Il 2022 ha portato la normalizzazione di un modello ibrido, per cui il lavoro da remoto rimane strutturalmente per 2-3 giorni alla settimana, contribuendo a cambiare le abitudini alimentari dei consumatori </w:t>
      </w:r>
      <w:r w:rsidR="00954067">
        <w:rPr>
          <w:rFonts w:ascii="Verdana" w:hAnsi="Verdana"/>
          <w:sz w:val="22"/>
          <w:szCs w:val="22"/>
        </w:rPr>
        <w:t>in Italia e in Europa</w:t>
      </w:r>
      <w:r w:rsidRPr="002A0B0F">
        <w:rPr>
          <w:rFonts w:ascii="Verdana" w:hAnsi="Verdana"/>
          <w:sz w:val="22"/>
          <w:szCs w:val="22"/>
        </w:rPr>
        <w:t xml:space="preserve">. Se, da un lato, abbiamo visto una riduzione della spesa per colazioni e pranzi consumati fuori casa, dall'altro abbiamo </w:t>
      </w:r>
      <w:r w:rsidRPr="002A0B0F">
        <w:rPr>
          <w:rFonts w:ascii="Verdana" w:hAnsi="Verdana"/>
          <w:sz w:val="22"/>
          <w:szCs w:val="22"/>
        </w:rPr>
        <w:lastRenderedPageBreak/>
        <w:t>notato una forte inclinazione verso uscite serali per aperitivi e cene, in una prospettiva di consumo esperienziale, sociale e di gratificazione personale.</w:t>
      </w:r>
    </w:p>
    <w:p w14:paraId="6F243B97" w14:textId="49311F07" w:rsidR="002A0B0F" w:rsidRDefault="002A0B0F" w:rsidP="002A0B0F">
      <w:pPr>
        <w:spacing w:line="360" w:lineRule="auto"/>
        <w:jc w:val="both"/>
        <w:rPr>
          <w:rFonts w:ascii="Verdana" w:hAnsi="Verdana"/>
          <w:sz w:val="22"/>
          <w:szCs w:val="22"/>
        </w:rPr>
      </w:pPr>
      <w:r w:rsidRPr="002A0B0F">
        <w:rPr>
          <w:rFonts w:ascii="Verdana" w:hAnsi="Verdana"/>
          <w:sz w:val="22"/>
          <w:szCs w:val="22"/>
        </w:rPr>
        <w:t xml:space="preserve">Il fenomeno del servizio di consegna a domicilio nel 2022 è rallentato poiché i consumatori hanno parzialmente ripreso le abitudini </w:t>
      </w:r>
      <w:proofErr w:type="spellStart"/>
      <w:r w:rsidRPr="002A0B0F">
        <w:rPr>
          <w:rFonts w:ascii="Verdana" w:hAnsi="Verdana"/>
          <w:sz w:val="22"/>
          <w:szCs w:val="22"/>
        </w:rPr>
        <w:t>pre</w:t>
      </w:r>
      <w:proofErr w:type="spellEnd"/>
      <w:r w:rsidRPr="002A0B0F">
        <w:rPr>
          <w:rFonts w:ascii="Verdana" w:hAnsi="Verdana"/>
          <w:sz w:val="22"/>
          <w:szCs w:val="22"/>
        </w:rPr>
        <w:t>-Covid di consumo fuori casa. Nonostante questa normalizzazione, si stima che il 37% dei consumatori abbia fruito dei servizi di consegna a domicilio nel 2022.</w:t>
      </w:r>
    </w:p>
    <w:p w14:paraId="7C80215C" w14:textId="77777777" w:rsidR="00DE219E" w:rsidRPr="002A0B0F" w:rsidRDefault="00DE219E" w:rsidP="002A0B0F">
      <w:pPr>
        <w:spacing w:line="360" w:lineRule="auto"/>
        <w:jc w:val="both"/>
        <w:rPr>
          <w:rFonts w:ascii="Verdana" w:hAnsi="Verdana"/>
          <w:sz w:val="22"/>
          <w:szCs w:val="22"/>
        </w:rPr>
      </w:pPr>
    </w:p>
    <w:p w14:paraId="1DF488CF" w14:textId="77777777" w:rsidR="00DE219E" w:rsidRPr="002A0B0F" w:rsidRDefault="00DE219E" w:rsidP="00DE219E">
      <w:pPr>
        <w:spacing w:line="360" w:lineRule="auto"/>
        <w:jc w:val="center"/>
        <w:rPr>
          <w:rFonts w:ascii="Verdana" w:hAnsi="Verdana"/>
          <w:b/>
          <w:color w:val="003F7E"/>
          <w:sz w:val="22"/>
          <w:szCs w:val="22"/>
        </w:rPr>
      </w:pPr>
      <w:r w:rsidRPr="002A0B0F">
        <w:rPr>
          <w:rFonts w:ascii="Verdana" w:hAnsi="Verdana"/>
          <w:b/>
          <w:color w:val="003F7E"/>
          <w:sz w:val="22"/>
          <w:szCs w:val="22"/>
        </w:rPr>
        <w:t xml:space="preserve">* * * </w:t>
      </w:r>
    </w:p>
    <w:p w14:paraId="40F1F42D" w14:textId="338C0F2D" w:rsidR="00DE219E" w:rsidRDefault="00DE219E" w:rsidP="0005474C">
      <w:pPr>
        <w:spacing w:line="360" w:lineRule="auto"/>
        <w:jc w:val="both"/>
        <w:rPr>
          <w:rFonts w:ascii="Verdana" w:hAnsi="Verdana"/>
          <w:sz w:val="22"/>
          <w:szCs w:val="22"/>
        </w:rPr>
      </w:pPr>
      <w:r w:rsidRPr="0005474C">
        <w:rPr>
          <w:rFonts w:ascii="Verdana" w:hAnsi="Verdana"/>
          <w:sz w:val="22"/>
          <w:szCs w:val="22"/>
        </w:rPr>
        <w:t xml:space="preserve">Gli operatori della filiera non prevedono ad oggi una contrazione dei consumi significativa nel canale a fronte della pressione inflattiva. Lo scenario del 2023 rimane cautamente positivo, prospettando una crescita del segmento nell’ordine del +5-10% ’23 vs. ’22 per la maggioranza degli intervistati. </w:t>
      </w:r>
    </w:p>
    <w:p w14:paraId="1F2F08DE" w14:textId="77777777" w:rsidR="004B6160" w:rsidRPr="0005474C" w:rsidRDefault="004B6160" w:rsidP="0005474C">
      <w:pPr>
        <w:spacing w:line="360" w:lineRule="auto"/>
        <w:jc w:val="both"/>
        <w:rPr>
          <w:rFonts w:ascii="Verdana" w:hAnsi="Verdana"/>
          <w:sz w:val="22"/>
          <w:szCs w:val="22"/>
        </w:rPr>
      </w:pPr>
    </w:p>
    <w:p w14:paraId="5ED214BB" w14:textId="3E8BA91D" w:rsidR="00DE219E" w:rsidRPr="00DE219E" w:rsidRDefault="00DE219E" w:rsidP="00DE219E">
      <w:pPr>
        <w:spacing w:line="360" w:lineRule="auto"/>
        <w:ind w:left="567"/>
        <w:rPr>
          <w:rFonts w:ascii="Arial" w:hAnsi="Arial" w:cs="Arial"/>
          <w:b/>
          <w:color w:val="003F7E"/>
          <w:sz w:val="20"/>
          <w:szCs w:val="20"/>
        </w:rPr>
      </w:pPr>
      <w:r w:rsidRPr="00DE219E">
        <w:rPr>
          <w:rFonts w:ascii="Arial" w:hAnsi="Arial" w:cs="Arial"/>
          <w:b/>
          <w:color w:val="003F7E"/>
          <w:sz w:val="20"/>
          <w:szCs w:val="20"/>
        </w:rPr>
        <w:t>L’evoluzione attesa per il mercato Horeca nel 2023 rispetto al 2022</w:t>
      </w:r>
    </w:p>
    <w:p w14:paraId="43EF2CC1" w14:textId="1CF66EB8" w:rsidR="00DE219E" w:rsidRPr="00D11220" w:rsidRDefault="00DE219E" w:rsidP="00DE219E">
      <w:pPr>
        <w:ind w:left="567"/>
        <w:jc w:val="both"/>
        <w:rPr>
          <w:rFonts w:ascii="Arial" w:hAnsi="Arial" w:cs="Arial"/>
          <w:color w:val="003F7E"/>
          <w:sz w:val="16"/>
          <w:szCs w:val="16"/>
        </w:rPr>
      </w:pPr>
      <w:r>
        <w:rPr>
          <w:rFonts w:ascii="Arial" w:hAnsi="Arial" w:cs="Arial"/>
          <w:noProof/>
          <w:color w:val="003F7E"/>
          <w:sz w:val="16"/>
          <w:szCs w:val="16"/>
        </w:rPr>
        <w:drawing>
          <wp:inline distT="0" distB="0" distL="0" distR="0" wp14:anchorId="2D686038" wp14:editId="31C2E5CB">
            <wp:extent cx="5949950" cy="2188845"/>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9950" cy="2188845"/>
                    </a:xfrm>
                    <a:prstGeom prst="rect">
                      <a:avLst/>
                    </a:prstGeom>
                    <a:noFill/>
                  </pic:spPr>
                </pic:pic>
              </a:graphicData>
            </a:graphic>
          </wp:inline>
        </w:drawing>
      </w:r>
      <w:r w:rsidRPr="00D11220">
        <w:rPr>
          <w:rFonts w:ascii="Arial" w:hAnsi="Arial" w:cs="Arial"/>
          <w:color w:val="003F7E"/>
          <w:sz w:val="16"/>
          <w:szCs w:val="16"/>
        </w:rPr>
        <w:t>Fonte: Survey ad esperti del settore</w:t>
      </w:r>
    </w:p>
    <w:bookmarkEnd w:id="0"/>
    <w:p w14:paraId="5168EA51" w14:textId="5E88DED4" w:rsidR="00DE219E" w:rsidRPr="002A0B0F" w:rsidRDefault="00DE219E" w:rsidP="002A0B0F">
      <w:pPr>
        <w:spacing w:line="360" w:lineRule="auto"/>
        <w:jc w:val="both"/>
        <w:rPr>
          <w:rFonts w:ascii="Verdana" w:hAnsi="Verdana"/>
          <w:sz w:val="22"/>
          <w:szCs w:val="22"/>
        </w:rPr>
      </w:pPr>
    </w:p>
    <w:sectPr w:rsidR="00DE219E" w:rsidRPr="002A0B0F" w:rsidSect="0046436A">
      <w:footerReference w:type="default" r:id="rId19"/>
      <w:headerReference w:type="first" r:id="rId20"/>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61B76" w14:textId="77777777" w:rsidR="00A159A5" w:rsidRDefault="00A159A5" w:rsidP="0059471D">
      <w:r>
        <w:separator/>
      </w:r>
    </w:p>
  </w:endnote>
  <w:endnote w:type="continuationSeparator" w:id="0">
    <w:p w14:paraId="160B887F" w14:textId="77777777" w:rsidR="00A159A5" w:rsidRDefault="00A159A5" w:rsidP="0059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94464"/>
      <w:docPartObj>
        <w:docPartGallery w:val="Page Numbers (Bottom of Page)"/>
        <w:docPartUnique/>
      </w:docPartObj>
    </w:sdtPr>
    <w:sdtContent>
      <w:p w14:paraId="33F13ACD" w14:textId="167E31FF" w:rsidR="00092709" w:rsidRDefault="00092709">
        <w:pPr>
          <w:pStyle w:val="Pidipagina"/>
          <w:jc w:val="right"/>
        </w:pPr>
        <w:r>
          <w:fldChar w:fldCharType="begin"/>
        </w:r>
        <w:r>
          <w:instrText>PAGE   \* MERGEFORMAT</w:instrText>
        </w:r>
        <w:r>
          <w:fldChar w:fldCharType="separate"/>
        </w:r>
        <w:r>
          <w:t>2</w:t>
        </w:r>
        <w:r>
          <w:fldChar w:fldCharType="end"/>
        </w:r>
      </w:p>
    </w:sdtContent>
  </w:sdt>
  <w:p w14:paraId="0299568F" w14:textId="77777777" w:rsidR="00092709" w:rsidRDefault="000927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5E5E7" w14:textId="77777777" w:rsidR="00A159A5" w:rsidRDefault="00A159A5" w:rsidP="0059471D">
      <w:r>
        <w:separator/>
      </w:r>
    </w:p>
  </w:footnote>
  <w:footnote w:type="continuationSeparator" w:id="0">
    <w:p w14:paraId="0CA07F59" w14:textId="77777777" w:rsidR="00A159A5" w:rsidRDefault="00A159A5" w:rsidP="0059471D">
      <w:r>
        <w:continuationSeparator/>
      </w:r>
    </w:p>
  </w:footnote>
  <w:footnote w:id="1">
    <w:p w14:paraId="5FEF9014" w14:textId="3CE424AC" w:rsidR="00FE7100" w:rsidRPr="009E08FE" w:rsidRDefault="00FE7100" w:rsidP="00FE7100">
      <w:pPr>
        <w:jc w:val="both"/>
        <w:rPr>
          <w:rFonts w:ascii="Verdana" w:hAnsi="Verdana"/>
          <w:sz w:val="16"/>
          <w:szCs w:val="16"/>
        </w:rPr>
      </w:pPr>
      <w:r>
        <w:rPr>
          <w:rStyle w:val="Rimandonotaapidipagina"/>
        </w:rPr>
        <w:footnoteRef/>
      </w:r>
      <w:r>
        <w:t xml:space="preserve"> </w:t>
      </w:r>
      <w:r w:rsidRPr="009E08FE">
        <w:rPr>
          <w:rFonts w:ascii="Verdana" w:hAnsi="Verdana"/>
          <w:sz w:val="16"/>
          <w:szCs w:val="16"/>
        </w:rPr>
        <w:t>La produttività del lavoro è il rapporto tra ricchezza prodotta e input di lavoro. E’ fondamentale per migliorare la capacità di retribuire i fattori produttivi, ossia il lavoro e il capitale investit</w:t>
      </w:r>
      <w:r w:rsidR="00AC5A97">
        <w:rPr>
          <w:rFonts w:ascii="Verdana" w:hAnsi="Verdana"/>
          <w:sz w:val="16"/>
          <w:szCs w:val="16"/>
        </w:rPr>
        <w:t>o</w:t>
      </w:r>
      <w:r w:rsidRPr="009E08FE">
        <w:rPr>
          <w:rFonts w:ascii="Verdana" w:hAnsi="Verdana"/>
          <w:sz w:val="16"/>
          <w:szCs w:val="16"/>
        </w:rPr>
        <w:t>.</w:t>
      </w:r>
    </w:p>
    <w:p w14:paraId="04773865" w14:textId="77777777" w:rsidR="00FE7100" w:rsidRDefault="00FE7100" w:rsidP="00FE7100">
      <w:pPr>
        <w:pStyle w:val="Testonotaapidipagina"/>
      </w:pPr>
    </w:p>
  </w:footnote>
  <w:footnote w:id="2">
    <w:p w14:paraId="51F30882" w14:textId="77777777" w:rsidR="00F34FEA" w:rsidRDefault="00F34FEA" w:rsidP="00F34FEA">
      <w:pPr>
        <w:pStyle w:val="Testonotaapidipagina"/>
      </w:pPr>
      <w:r>
        <w:rPr>
          <w:rStyle w:val="Rimandonotaapidipagina"/>
        </w:rPr>
        <w:footnoteRef/>
      </w:r>
      <w:r>
        <w:t xml:space="preserve"> Incluse le bevande alcoliche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155E" w14:textId="248E54C6" w:rsidR="0046436A" w:rsidRDefault="0046436A">
    <w:pPr>
      <w:pStyle w:val="Intestazione"/>
    </w:pPr>
    <w:r>
      <w:rPr>
        <w:noProof/>
      </w:rPr>
      <w:drawing>
        <wp:anchor distT="0" distB="0" distL="114300" distR="114300" simplePos="0" relativeHeight="251658240" behindDoc="0" locked="0" layoutInCell="1" allowOverlap="1" wp14:anchorId="0356F40B" wp14:editId="2F186750">
          <wp:simplePos x="0" y="0"/>
          <wp:positionH relativeFrom="margin">
            <wp:posOffset>-710566</wp:posOffset>
          </wp:positionH>
          <wp:positionV relativeFrom="paragraph">
            <wp:posOffset>-297180</wp:posOffset>
          </wp:positionV>
          <wp:extent cx="7529469" cy="103822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5156" cy="104038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1D"/>
    <w:rsid w:val="0005474C"/>
    <w:rsid w:val="00090BC0"/>
    <w:rsid w:val="00092709"/>
    <w:rsid w:val="00100A09"/>
    <w:rsid w:val="00150EF3"/>
    <w:rsid w:val="002048F0"/>
    <w:rsid w:val="00263BC7"/>
    <w:rsid w:val="002A0B0F"/>
    <w:rsid w:val="002B485F"/>
    <w:rsid w:val="003632E7"/>
    <w:rsid w:val="003729AC"/>
    <w:rsid w:val="003935E9"/>
    <w:rsid w:val="004372EF"/>
    <w:rsid w:val="0046436A"/>
    <w:rsid w:val="004B6160"/>
    <w:rsid w:val="004E74E5"/>
    <w:rsid w:val="0059471D"/>
    <w:rsid w:val="005E2E04"/>
    <w:rsid w:val="00607DAC"/>
    <w:rsid w:val="00621F9B"/>
    <w:rsid w:val="00653FC1"/>
    <w:rsid w:val="00677EA9"/>
    <w:rsid w:val="00792FC4"/>
    <w:rsid w:val="007C76E2"/>
    <w:rsid w:val="00814F40"/>
    <w:rsid w:val="00831BAA"/>
    <w:rsid w:val="008653B7"/>
    <w:rsid w:val="00884916"/>
    <w:rsid w:val="00894AA1"/>
    <w:rsid w:val="00953A9B"/>
    <w:rsid w:val="00954067"/>
    <w:rsid w:val="00992A96"/>
    <w:rsid w:val="009D4776"/>
    <w:rsid w:val="00A159A5"/>
    <w:rsid w:val="00A417D8"/>
    <w:rsid w:val="00A76B3B"/>
    <w:rsid w:val="00A95035"/>
    <w:rsid w:val="00AB592B"/>
    <w:rsid w:val="00AC5A97"/>
    <w:rsid w:val="00AD03D2"/>
    <w:rsid w:val="00AF6CDF"/>
    <w:rsid w:val="00BA4974"/>
    <w:rsid w:val="00C43388"/>
    <w:rsid w:val="00C439E1"/>
    <w:rsid w:val="00C50F70"/>
    <w:rsid w:val="00C639AD"/>
    <w:rsid w:val="00C752CE"/>
    <w:rsid w:val="00CB35F7"/>
    <w:rsid w:val="00CE117A"/>
    <w:rsid w:val="00CE6B57"/>
    <w:rsid w:val="00D05A80"/>
    <w:rsid w:val="00D07F79"/>
    <w:rsid w:val="00DD0C6A"/>
    <w:rsid w:val="00DD2645"/>
    <w:rsid w:val="00DE219E"/>
    <w:rsid w:val="00DE70E2"/>
    <w:rsid w:val="00E02E3F"/>
    <w:rsid w:val="00E70684"/>
    <w:rsid w:val="00EB40CF"/>
    <w:rsid w:val="00EC15D5"/>
    <w:rsid w:val="00F34FEA"/>
    <w:rsid w:val="00F4646B"/>
    <w:rsid w:val="00F819FE"/>
    <w:rsid w:val="00FE71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A255A"/>
  <w15:chartTrackingRefBased/>
  <w15:docId w15:val="{4D0D113F-2520-4147-8BBE-B9F36875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471D"/>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090BC0"/>
    <w:pPr>
      <w:keepNext/>
      <w:spacing w:before="240" w:after="60"/>
      <w:outlineLvl w:val="1"/>
    </w:pPr>
    <w:rPr>
      <w:rFonts w:ascii="Arial" w:hAnsi="Arial" w:cs="Arial"/>
      <w:b/>
      <w:bCs/>
      <w:i/>
      <w:iCs/>
      <w:color w:val="2E497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semiHidden/>
    <w:rsid w:val="0059471D"/>
    <w:rPr>
      <w:vertAlign w:val="superscript"/>
    </w:rPr>
  </w:style>
  <w:style w:type="paragraph" w:styleId="Testonotaapidipagina">
    <w:name w:val="footnote text"/>
    <w:basedOn w:val="Normale"/>
    <w:link w:val="TestonotaapidipaginaCarattere"/>
    <w:uiPriority w:val="99"/>
    <w:rsid w:val="0059471D"/>
    <w:rPr>
      <w:sz w:val="20"/>
      <w:szCs w:val="20"/>
    </w:rPr>
  </w:style>
  <w:style w:type="character" w:customStyle="1" w:styleId="TestonotaapidipaginaCarattere">
    <w:name w:val="Testo nota a piè di pagina Carattere"/>
    <w:basedOn w:val="Carpredefinitoparagrafo"/>
    <w:link w:val="Testonotaapidipagina"/>
    <w:uiPriority w:val="99"/>
    <w:rsid w:val="0059471D"/>
    <w:rPr>
      <w:rFonts w:ascii="Times New Roman" w:eastAsia="Times New Roman" w:hAnsi="Times New Roman" w:cs="Times New Roman"/>
      <w:sz w:val="20"/>
      <w:szCs w:val="20"/>
      <w:lang w:eastAsia="it-IT"/>
    </w:rPr>
  </w:style>
  <w:style w:type="paragraph" w:styleId="Nessunaspaziatura">
    <w:name w:val="No Spacing"/>
    <w:link w:val="NessunaspaziaturaCarattere"/>
    <w:uiPriority w:val="1"/>
    <w:qFormat/>
    <w:rsid w:val="0059471D"/>
    <w:pPr>
      <w:spacing w:after="0" w:line="240" w:lineRule="auto"/>
    </w:pPr>
    <w:rPr>
      <w:rFonts w:ascii="Calibri" w:eastAsia="Calibri" w:hAnsi="Calibri" w:cs="Times New Roman"/>
    </w:rPr>
  </w:style>
  <w:style w:type="table" w:styleId="Sfondochiaro-Colore1">
    <w:name w:val="Light Shading Accent 1"/>
    <w:basedOn w:val="Tabellanormale"/>
    <w:uiPriority w:val="60"/>
    <w:rsid w:val="0059471D"/>
    <w:pPr>
      <w:spacing w:after="0" w:line="240" w:lineRule="auto"/>
    </w:pPr>
    <w:rPr>
      <w:rFonts w:ascii="Times New Roman" w:eastAsia="Times New Roman" w:hAnsi="Times New Roman" w:cs="Times New Roman"/>
      <w:color w:val="2F5496" w:themeColor="accent1" w:themeShade="BF"/>
      <w:sz w:val="20"/>
      <w:szCs w:val="20"/>
      <w:lang w:eastAsia="it-IT"/>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NessunaspaziaturaCarattere">
    <w:name w:val="Nessuna spaziatura Carattere"/>
    <w:basedOn w:val="Carpredefinitoparagrafo"/>
    <w:link w:val="Nessunaspaziatura"/>
    <w:uiPriority w:val="1"/>
    <w:rsid w:val="0059471D"/>
    <w:rPr>
      <w:rFonts w:ascii="Calibri" w:eastAsia="Calibri" w:hAnsi="Calibri" w:cs="Times New Roman"/>
    </w:rPr>
  </w:style>
  <w:style w:type="table" w:styleId="Tabellagriglia5scura-colore5">
    <w:name w:val="Grid Table 5 Dark Accent 5"/>
    <w:basedOn w:val="Tabellanormale"/>
    <w:uiPriority w:val="50"/>
    <w:rsid w:val="00F819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1">
    <w:name w:val="Pa1"/>
    <w:basedOn w:val="Normale"/>
    <w:next w:val="Normale"/>
    <w:uiPriority w:val="99"/>
    <w:rsid w:val="00D07F79"/>
    <w:pPr>
      <w:autoSpaceDE w:val="0"/>
      <w:autoSpaceDN w:val="0"/>
      <w:adjustRightInd w:val="0"/>
      <w:spacing w:line="231" w:lineRule="atLeast"/>
    </w:pPr>
    <w:rPr>
      <w:rFonts w:ascii="Adobe Garamond Pro" w:eastAsiaTheme="minorHAnsi" w:hAnsi="Adobe Garamond Pro" w:cstheme="minorBidi"/>
      <w:lang w:eastAsia="en-US"/>
    </w:rPr>
  </w:style>
  <w:style w:type="character" w:customStyle="1" w:styleId="Titolo2Carattere">
    <w:name w:val="Titolo 2 Carattere"/>
    <w:basedOn w:val="Carpredefinitoparagrafo"/>
    <w:link w:val="Titolo2"/>
    <w:rsid w:val="00090BC0"/>
    <w:rPr>
      <w:rFonts w:ascii="Arial" w:eastAsia="Times New Roman" w:hAnsi="Arial" w:cs="Arial"/>
      <w:b/>
      <w:bCs/>
      <w:i/>
      <w:iCs/>
      <w:color w:val="2E497B"/>
      <w:sz w:val="28"/>
      <w:szCs w:val="28"/>
      <w:lang w:eastAsia="it-IT"/>
    </w:rPr>
  </w:style>
  <w:style w:type="paragraph" w:styleId="Intestazione">
    <w:name w:val="header"/>
    <w:basedOn w:val="Normale"/>
    <w:link w:val="IntestazioneCarattere"/>
    <w:uiPriority w:val="99"/>
    <w:unhideWhenUsed/>
    <w:rsid w:val="00092709"/>
    <w:pPr>
      <w:tabs>
        <w:tab w:val="center" w:pos="4819"/>
        <w:tab w:val="right" w:pos="9638"/>
      </w:tabs>
    </w:pPr>
  </w:style>
  <w:style w:type="character" w:customStyle="1" w:styleId="IntestazioneCarattere">
    <w:name w:val="Intestazione Carattere"/>
    <w:basedOn w:val="Carpredefinitoparagrafo"/>
    <w:link w:val="Intestazione"/>
    <w:uiPriority w:val="99"/>
    <w:rsid w:val="0009270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92709"/>
    <w:pPr>
      <w:tabs>
        <w:tab w:val="center" w:pos="4819"/>
        <w:tab w:val="right" w:pos="9638"/>
      </w:tabs>
    </w:pPr>
  </w:style>
  <w:style w:type="character" w:customStyle="1" w:styleId="PidipaginaCarattere">
    <w:name w:val="Piè di pagina Carattere"/>
    <w:basedOn w:val="Carpredefinitoparagrafo"/>
    <w:link w:val="Pidipagina"/>
    <w:uiPriority w:val="99"/>
    <w:rsid w:val="0009270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2.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Toshiba\Documents\FIPE\TAB-Struttura%20Forma%20giuridica%20Profilo%20Classe-hid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td2016-dc\S\UFFICIO_STUDI\Indagini\risultati\congiuntura\2022\IV_%20trim%202022_elab.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std2016-dc\S\UFFICIO_STUDI\Fonte%20dati\Istat\conti%20nazionali\contabilita%20nazionale\dati%20forniti%20da%20istat\Copia%20di%20Alloggio%20e%20ristorazione_dati%20forniti%20a%20gen_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std2016-dc\S\UFFICIO_STUDI\Fonte%20dati\Istat\conti%20nazionali\contabilita%20nazionale\dati%20forniti%20da%20istat\Copia%20di%20Alloggio%20e%20ristorazione_dati%20forniti%20a%20gen_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std2016-dc\S\UFFICIO_STUDI\Fonte%20dati\Istat\prezzi\consumo\anno%202022\serie%20tendenziale%20bar%20e%20ris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[TAB-Struttura Forma giuridica Profilo Classe-hide.xlsx]Tabella Pivot Nati-mortalità!Tabella pivot4</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'Tabella Pivot Nati-mortalità'!$B$87</c:f>
              <c:strCache>
                <c:ptCount val="1"/>
                <c:pt idx="0">
                  <c:v>Iscrizioni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'Tabella Pivot Nati-mortalità'!$A$88:$A$89</c:f>
              <c:strCache>
                <c:ptCount val="1"/>
                <c:pt idx="0">
                  <c:v>Attività dei servizi di ristorazione</c:v>
                </c:pt>
              </c:strCache>
            </c:strRef>
          </c:cat>
          <c:val>
            <c:numRef>
              <c:f>'Tabella Pivot Nati-mortalità'!$B$88:$B$89</c:f>
              <c:numCache>
                <c:formatCode>#,##0</c:formatCode>
                <c:ptCount val="1"/>
                <c:pt idx="0">
                  <c:v>9688</c:v>
                </c:pt>
              </c:numCache>
            </c:numRef>
          </c:val>
          <c:extLst>
            <c:ext xmlns:c16="http://schemas.microsoft.com/office/drawing/2014/chart" uri="{C3380CC4-5D6E-409C-BE32-E72D297353CC}">
              <c16:uniqueId val="{00000000-6DA5-4668-AB74-EEA569E1313A}"/>
            </c:ext>
          </c:extLst>
        </c:ser>
        <c:ser>
          <c:idx val="1"/>
          <c:order val="1"/>
          <c:tx>
            <c:strRef>
              <c:f>'Tabella Pivot Nati-mortalità'!$C$87</c:f>
              <c:strCache>
                <c:ptCount val="1"/>
                <c:pt idx="0">
                  <c:v>Cessazioni</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'Tabella Pivot Nati-mortalità'!$A$88:$A$89</c:f>
              <c:strCache>
                <c:ptCount val="1"/>
                <c:pt idx="0">
                  <c:v>Attività dei servizi di ristorazione</c:v>
                </c:pt>
              </c:strCache>
            </c:strRef>
          </c:cat>
          <c:val>
            <c:numRef>
              <c:f>'Tabella Pivot Nati-mortalità'!$C$88:$C$89</c:f>
              <c:numCache>
                <c:formatCode>#,##0</c:formatCode>
                <c:ptCount val="1"/>
                <c:pt idx="0">
                  <c:v>20384</c:v>
                </c:pt>
              </c:numCache>
            </c:numRef>
          </c:val>
          <c:extLst>
            <c:ext xmlns:c16="http://schemas.microsoft.com/office/drawing/2014/chart" uri="{C3380CC4-5D6E-409C-BE32-E72D297353CC}">
              <c16:uniqueId val="{00000001-6DA5-4668-AB74-EEA569E1313A}"/>
            </c:ext>
          </c:extLst>
        </c:ser>
        <c:ser>
          <c:idx val="2"/>
          <c:order val="2"/>
          <c:tx>
            <c:strRef>
              <c:f>'Tabella Pivot Nati-mortalità'!$D$87</c:f>
              <c:strCache>
                <c:ptCount val="1"/>
                <c:pt idx="0">
                  <c:v>Differenza</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'Tabella Pivot Nati-mortalità'!$A$88:$A$89</c:f>
              <c:strCache>
                <c:ptCount val="1"/>
                <c:pt idx="0">
                  <c:v>Attività dei servizi di ristorazione</c:v>
                </c:pt>
              </c:strCache>
            </c:strRef>
          </c:cat>
          <c:val>
            <c:numRef>
              <c:f>'Tabella Pivot Nati-mortalità'!$D$88:$D$89</c:f>
              <c:numCache>
                <c:formatCode>#,##0</c:formatCode>
                <c:ptCount val="1"/>
                <c:pt idx="0">
                  <c:v>-10696</c:v>
                </c:pt>
              </c:numCache>
            </c:numRef>
          </c:val>
          <c:extLst>
            <c:ext xmlns:c16="http://schemas.microsoft.com/office/drawing/2014/chart" uri="{C3380CC4-5D6E-409C-BE32-E72D297353CC}">
              <c16:uniqueId val="{00000002-6DA5-4668-AB74-EEA569E1313A}"/>
            </c:ext>
          </c:extLst>
        </c:ser>
        <c:dLbls>
          <c:showLegendKey val="0"/>
          <c:showVal val="0"/>
          <c:showCatName val="0"/>
          <c:showSerName val="0"/>
          <c:showPercent val="0"/>
          <c:showBubbleSize val="0"/>
        </c:dLbls>
        <c:gapWidth val="100"/>
        <c:overlap val="-24"/>
        <c:axId val="2060964943"/>
        <c:axId val="2060961615"/>
      </c:barChart>
      <c:catAx>
        <c:axId val="2060964943"/>
        <c:scaling>
          <c:orientation val="minMax"/>
        </c:scaling>
        <c:delete val="0"/>
        <c:axPos val="b"/>
        <c:numFmt formatCode="General" sourceLinked="1"/>
        <c:majorTickMark val="none"/>
        <c:minorTickMark val="none"/>
        <c:tickLblPos val="high"/>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crossAx val="2060961615"/>
        <c:crosses val="autoZero"/>
        <c:auto val="1"/>
        <c:lblAlgn val="ctr"/>
        <c:lblOffset val="100"/>
        <c:noMultiLvlLbl val="0"/>
      </c:catAx>
      <c:valAx>
        <c:axId val="2060961615"/>
        <c:scaling>
          <c:orientation val="minMax"/>
        </c:scaling>
        <c:delete val="1"/>
        <c:axPos val="l"/>
        <c:numFmt formatCode="#,##0" sourceLinked="1"/>
        <c:majorTickMark val="none"/>
        <c:minorTickMark val="none"/>
        <c:tickLblPos val="nextTo"/>
        <c:crossAx val="2060964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862653463929413E-2"/>
          <c:y val="0.17842359801202268"/>
          <c:w val="0.89647428454821165"/>
          <c:h val="0.52492702959543847"/>
        </c:manualLayout>
      </c:layout>
      <c:lineChart>
        <c:grouping val="standard"/>
        <c:varyColors val="0"/>
        <c:ser>
          <c:idx val="1"/>
          <c:order val="0"/>
          <c:spPr>
            <a:ln w="22225" cap="rnd" cmpd="sng" algn="ctr">
              <a:solidFill>
                <a:schemeClr val="accent1"/>
              </a:solidFill>
              <a:round/>
            </a:ln>
            <a:effectLst/>
          </c:spPr>
          <c:marker>
            <c:symbol val="none"/>
          </c:marker>
          <c:cat>
            <c:multiLvlStrRef>
              <c:f>clima!$A$61:$B$107</c:f>
              <c:multiLvlStrCache>
                <c:ptCount val="47"/>
                <c:lvl>
                  <c:pt idx="0">
                    <c:v>I </c:v>
                  </c:pt>
                  <c:pt idx="1">
                    <c:v>II</c:v>
                  </c:pt>
                  <c:pt idx="2">
                    <c:v>III</c:v>
                  </c:pt>
                  <c:pt idx="3">
                    <c:v>IV</c:v>
                  </c:pt>
                  <c:pt idx="4">
                    <c:v>I </c:v>
                  </c:pt>
                  <c:pt idx="5">
                    <c:v>II</c:v>
                  </c:pt>
                  <c:pt idx="6">
                    <c:v>III</c:v>
                  </c:pt>
                  <c:pt idx="7">
                    <c:v>IV</c:v>
                  </c:pt>
                  <c:pt idx="8">
                    <c:v>I </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pt idx="28">
                    <c:v>I</c:v>
                  </c:pt>
                  <c:pt idx="29">
                    <c:v>II</c:v>
                  </c:pt>
                  <c:pt idx="30">
                    <c:v>III</c:v>
                  </c:pt>
                  <c:pt idx="31">
                    <c:v>IV</c:v>
                  </c:pt>
                  <c:pt idx="32">
                    <c:v>I</c:v>
                  </c:pt>
                  <c:pt idx="33">
                    <c:v>II</c:v>
                  </c:pt>
                  <c:pt idx="34">
                    <c:v>III</c:v>
                  </c:pt>
                  <c:pt idx="35">
                    <c:v>IV</c:v>
                  </c:pt>
                  <c:pt idx="36">
                    <c:v>I</c:v>
                  </c:pt>
                  <c:pt idx="37">
                    <c:v>III</c:v>
                  </c:pt>
                  <c:pt idx="38">
                    <c:v>IV</c:v>
                  </c:pt>
                  <c:pt idx="39">
                    <c:v>I</c:v>
                  </c:pt>
                  <c:pt idx="40">
                    <c:v>II</c:v>
                  </c:pt>
                  <c:pt idx="41">
                    <c:v>III</c:v>
                  </c:pt>
                  <c:pt idx="42">
                    <c:v>IV</c:v>
                  </c:pt>
                  <c:pt idx="43">
                    <c:v>I</c:v>
                  </c:pt>
                  <c:pt idx="44">
                    <c:v>II</c:v>
                  </c:pt>
                  <c:pt idx="45">
                    <c:v>III</c:v>
                  </c:pt>
                  <c:pt idx="46">
                    <c:v>IV</c:v>
                  </c:pt>
                </c:lvl>
                <c:lvl>
                  <c:pt idx="0">
                    <c:v>'11</c:v>
                  </c:pt>
                  <c:pt idx="4">
                    <c:v>'12</c:v>
                  </c:pt>
                  <c:pt idx="8">
                    <c:v>'13</c:v>
                  </c:pt>
                  <c:pt idx="12">
                    <c:v>'14</c:v>
                  </c:pt>
                  <c:pt idx="16">
                    <c:v>'15</c:v>
                  </c:pt>
                  <c:pt idx="20">
                    <c:v>'16</c:v>
                  </c:pt>
                  <c:pt idx="24">
                    <c:v>'17</c:v>
                  </c:pt>
                  <c:pt idx="28">
                    <c:v>'18</c:v>
                  </c:pt>
                  <c:pt idx="32">
                    <c:v>'19</c:v>
                  </c:pt>
                  <c:pt idx="36">
                    <c:v>'20</c:v>
                  </c:pt>
                  <c:pt idx="39">
                    <c:v>'21</c:v>
                  </c:pt>
                  <c:pt idx="43">
                    <c:v>'22</c:v>
                  </c:pt>
                </c:lvl>
              </c:multiLvlStrCache>
            </c:multiLvlStrRef>
          </c:cat>
          <c:val>
            <c:numRef>
              <c:f>clima!$C$61:$C$107</c:f>
              <c:numCache>
                <c:formatCode>0.0</c:formatCode>
                <c:ptCount val="47"/>
                <c:pt idx="0">
                  <c:v>72.5</c:v>
                </c:pt>
                <c:pt idx="1">
                  <c:v>90</c:v>
                </c:pt>
                <c:pt idx="2">
                  <c:v>75.900000000000006</c:v>
                </c:pt>
                <c:pt idx="3">
                  <c:v>52.7</c:v>
                </c:pt>
                <c:pt idx="4">
                  <c:v>39.1</c:v>
                </c:pt>
                <c:pt idx="5">
                  <c:v>40.700000000000003</c:v>
                </c:pt>
                <c:pt idx="6">
                  <c:v>49.1</c:v>
                </c:pt>
                <c:pt idx="7">
                  <c:v>39.9</c:v>
                </c:pt>
                <c:pt idx="8">
                  <c:v>52.8</c:v>
                </c:pt>
                <c:pt idx="9">
                  <c:v>62.457776717557252</c:v>
                </c:pt>
                <c:pt idx="10">
                  <c:v>60.599947737562417</c:v>
                </c:pt>
                <c:pt idx="11">
                  <c:v>58.4</c:v>
                </c:pt>
                <c:pt idx="12">
                  <c:v>70</c:v>
                </c:pt>
                <c:pt idx="13">
                  <c:v>69</c:v>
                </c:pt>
                <c:pt idx="14">
                  <c:v>65.3</c:v>
                </c:pt>
                <c:pt idx="15">
                  <c:v>71.400000000000006</c:v>
                </c:pt>
                <c:pt idx="16">
                  <c:v>81.5</c:v>
                </c:pt>
                <c:pt idx="17">
                  <c:v>81.3</c:v>
                </c:pt>
                <c:pt idx="18">
                  <c:v>112</c:v>
                </c:pt>
                <c:pt idx="19">
                  <c:v>99.6</c:v>
                </c:pt>
                <c:pt idx="20">
                  <c:v>92.24</c:v>
                </c:pt>
                <c:pt idx="21">
                  <c:v>88.48</c:v>
                </c:pt>
                <c:pt idx="22">
                  <c:v>106.2</c:v>
                </c:pt>
                <c:pt idx="23" formatCode="General">
                  <c:v>88.82</c:v>
                </c:pt>
                <c:pt idx="24">
                  <c:v>90.8</c:v>
                </c:pt>
                <c:pt idx="25">
                  <c:v>102.99675625896415</c:v>
                </c:pt>
                <c:pt idx="26">
                  <c:v>120.34</c:v>
                </c:pt>
                <c:pt idx="27">
                  <c:v>104.89340941286021</c:v>
                </c:pt>
                <c:pt idx="28">
                  <c:v>81.945359360202048</c:v>
                </c:pt>
                <c:pt idx="29">
                  <c:v>102.2</c:v>
                </c:pt>
                <c:pt idx="30" formatCode="General">
                  <c:v>100.4</c:v>
                </c:pt>
                <c:pt idx="31">
                  <c:v>108.6</c:v>
                </c:pt>
                <c:pt idx="32">
                  <c:v>97.55491753552586</c:v>
                </c:pt>
                <c:pt idx="33">
                  <c:v>93.6</c:v>
                </c:pt>
                <c:pt idx="34">
                  <c:v>88.2</c:v>
                </c:pt>
                <c:pt idx="35">
                  <c:v>91.667194554670331</c:v>
                </c:pt>
                <c:pt idx="36">
                  <c:v>77.741042502004817</c:v>
                </c:pt>
                <c:pt idx="37">
                  <c:v>56.12410945269577</c:v>
                </c:pt>
                <c:pt idx="38">
                  <c:v>22.9</c:v>
                </c:pt>
                <c:pt idx="39">
                  <c:v>23.564578677223636</c:v>
                </c:pt>
                <c:pt idx="40">
                  <c:v>96.591272469557367</c:v>
                </c:pt>
                <c:pt idx="41">
                  <c:v>132.33076050123825</c:v>
                </c:pt>
                <c:pt idx="42">
                  <c:v>83.803205935451331</c:v>
                </c:pt>
                <c:pt idx="43">
                  <c:v>92.533340149430757</c:v>
                </c:pt>
                <c:pt idx="44">
                  <c:v>111.96618988544094</c:v>
                </c:pt>
                <c:pt idx="45">
                  <c:v>109.49847955135907</c:v>
                </c:pt>
                <c:pt idx="46">
                  <c:v>116.55337995337996</c:v>
                </c:pt>
              </c:numCache>
            </c:numRef>
          </c:val>
          <c:smooth val="0"/>
          <c:extLst>
            <c:ext xmlns:c16="http://schemas.microsoft.com/office/drawing/2014/chart" uri="{C3380CC4-5D6E-409C-BE32-E72D297353CC}">
              <c16:uniqueId val="{00000000-33C9-44E2-ABA5-AB22AB3D3A1F}"/>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84251520"/>
        <c:axId val="184253440"/>
      </c:lineChart>
      <c:catAx>
        <c:axId val="184251520"/>
        <c:scaling>
          <c:orientation val="minMax"/>
        </c:scaling>
        <c:delete val="0"/>
        <c:axPos val="b"/>
        <c:numFmt formatCode="#,##0.0" sourceLinked="0"/>
        <c:majorTickMark val="out"/>
        <c:minorTickMark val="none"/>
        <c:tickLblPos val="low"/>
        <c:spPr>
          <a:noFill/>
          <a:ln w="9525" cap="flat" cmpd="sng" algn="ctr">
            <a:solidFill>
              <a:schemeClr val="dk1">
                <a:lumMod val="15000"/>
                <a:lumOff val="85000"/>
              </a:schemeClr>
            </a:solidFill>
            <a:round/>
          </a:ln>
          <a:effectLst/>
        </c:spPr>
        <c:txPr>
          <a:bodyPr rot="0" spcFirstLastPara="1" vertOverflow="ellipsis"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it-IT"/>
          </a:p>
        </c:txPr>
        <c:crossAx val="184253440"/>
        <c:crossesAt val="0"/>
        <c:auto val="1"/>
        <c:lblAlgn val="ctr"/>
        <c:lblOffset val="100"/>
        <c:tickLblSkip val="1"/>
        <c:noMultiLvlLbl val="0"/>
      </c:catAx>
      <c:valAx>
        <c:axId val="184253440"/>
        <c:scaling>
          <c:orientation val="minMax"/>
          <c:min val="0"/>
        </c:scaling>
        <c:delete val="0"/>
        <c:axPos val="l"/>
        <c:numFmt formatCode="0" sourceLinked="0"/>
        <c:majorTickMark val="none"/>
        <c:minorTickMark val="none"/>
        <c:tickLblPos val="nextTo"/>
        <c:spPr>
          <a:noFill/>
          <a:ln>
            <a:noFill/>
          </a:ln>
          <a:effectLst/>
        </c:spPr>
        <c:txPr>
          <a:bodyPr rot="0" spcFirstLastPara="1" vertOverflow="ellipsis"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it-IT"/>
          </a:p>
        </c:txPr>
        <c:crossAx val="1842515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lnSpc>
          <a:spcPts val="0"/>
        </a:lnSpc>
        <a:defRPr/>
      </a:pPr>
      <a:endParaRPr lang="it-IT"/>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2225" cap="rnd" cmpd="sng" algn="ctr">
              <a:solidFill>
                <a:schemeClr val="accent1"/>
              </a:solidFill>
              <a:round/>
            </a:ln>
            <a:effectLst/>
          </c:spPr>
          <c:marker>
            <c:symbol val="none"/>
          </c:marker>
          <c:dLbls>
            <c:dLbl>
              <c:idx val="0"/>
              <c:layout>
                <c:manualLayout>
                  <c:x val="-2.5000000000000001E-2"/>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57-43CA-A9CB-EE80D85B2AEC}"/>
                </c:ext>
              </c:extLst>
            </c:dLbl>
            <c:dLbl>
              <c:idx val="1"/>
              <c:layout>
                <c:manualLayout>
                  <c:x val="-2.5000000000000001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57-43CA-A9CB-EE80D85B2AEC}"/>
                </c:ext>
              </c:extLst>
            </c:dLbl>
            <c:dLbl>
              <c:idx val="2"/>
              <c:layout>
                <c:manualLayout>
                  <c:x val="-2.7777777777777776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57-43CA-A9CB-EE80D85B2AEC}"/>
                </c:ext>
              </c:extLst>
            </c:dLbl>
            <c:dLbl>
              <c:idx val="3"/>
              <c:layout>
                <c:manualLayout>
                  <c:x val="-2.5000000000000001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57-43CA-A9CB-EE80D85B2AEC}"/>
                </c:ext>
              </c:extLst>
            </c:dLbl>
            <c:dLbl>
              <c:idx val="6"/>
              <c:layout>
                <c:manualLayout>
                  <c:x val="-3.3333333333333333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57-43CA-A9CB-EE80D85B2AEC}"/>
                </c:ext>
              </c:extLst>
            </c:dLbl>
            <c:dLbl>
              <c:idx val="7"/>
              <c:layout>
                <c:manualLayout>
                  <c:x val="-2.7777777777777776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57-43CA-A9CB-EE80D85B2AEC}"/>
                </c:ext>
              </c:extLst>
            </c:dLbl>
            <c:dLbl>
              <c:idx val="9"/>
              <c:layout>
                <c:manualLayout>
                  <c:x val="-5.5555555555555558E-3"/>
                  <c:y val="4.6296296296296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57-43CA-A9CB-EE80D85B2A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va!$B$22:$P$22</c:f>
              <c:numCache>
                <c:formatCode>General</c:formatCod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numCache>
            </c:numRef>
          </c:cat>
          <c:val>
            <c:numRef>
              <c:f>va!$B$24:$P$24</c:f>
              <c:numCache>
                <c:formatCode>#,##0</c:formatCode>
                <c:ptCount val="15"/>
                <c:pt idx="0">
                  <c:v>100</c:v>
                </c:pt>
                <c:pt idx="1">
                  <c:v>102.33822269987476</c:v>
                </c:pt>
                <c:pt idx="2">
                  <c:v>98.590448486997445</c:v>
                </c:pt>
                <c:pt idx="3">
                  <c:v>99.793136632984954</c:v>
                </c:pt>
                <c:pt idx="4">
                  <c:v>98.643218952916271</c:v>
                </c:pt>
                <c:pt idx="5">
                  <c:v>93.570854509901196</c:v>
                </c:pt>
                <c:pt idx="6">
                  <c:v>95.664358718904595</c:v>
                </c:pt>
                <c:pt idx="7">
                  <c:v>96.04692818677691</c:v>
                </c:pt>
                <c:pt idx="8">
                  <c:v>97.679856074085237</c:v>
                </c:pt>
                <c:pt idx="9">
                  <c:v>102.55464436998736</c:v>
                </c:pt>
                <c:pt idx="10">
                  <c:v>103.42636125919962</c:v>
                </c:pt>
                <c:pt idx="11">
                  <c:v>103.45807308797492</c:v>
                </c:pt>
                <c:pt idx="12">
                  <c:v>63.359943772929959</c:v>
                </c:pt>
                <c:pt idx="13">
                  <c:v>77.288894023822465</c:v>
                </c:pt>
                <c:pt idx="14">
                  <c:v>95.090084372692189</c:v>
                </c:pt>
              </c:numCache>
            </c:numRef>
          </c:val>
          <c:smooth val="0"/>
          <c:extLst>
            <c:ext xmlns:c16="http://schemas.microsoft.com/office/drawing/2014/chart" uri="{C3380CC4-5D6E-409C-BE32-E72D297353CC}">
              <c16:uniqueId val="{00000007-D357-43CA-A9CB-EE80D85B2AEC}"/>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81383592"/>
        <c:axId val="481391464"/>
      </c:lineChart>
      <c:catAx>
        <c:axId val="4813835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it-IT"/>
          </a:p>
        </c:txPr>
        <c:crossAx val="481391464"/>
        <c:crosses val="autoZero"/>
        <c:auto val="1"/>
        <c:lblAlgn val="ctr"/>
        <c:lblOffset val="100"/>
        <c:noMultiLvlLbl val="0"/>
      </c:catAx>
      <c:valAx>
        <c:axId val="481391464"/>
        <c:scaling>
          <c:orientation val="minMax"/>
          <c:max val="110"/>
          <c:min val="60"/>
        </c:scaling>
        <c:delete val="1"/>
        <c:axPos val="l"/>
        <c:numFmt formatCode="#,##0" sourceLinked="1"/>
        <c:majorTickMark val="none"/>
        <c:minorTickMark val="none"/>
        <c:tickLblPos val="nextTo"/>
        <c:crossAx val="48138359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cmpd="sng" algn="ctr">
              <a:solidFill>
                <a:schemeClr val="accent1"/>
              </a:solidFill>
              <a:round/>
            </a:ln>
            <a:effectLst/>
          </c:spPr>
          <c:marker>
            <c:symbol val="none"/>
          </c:marker>
          <c:dLbls>
            <c:dLbl>
              <c:idx val="1"/>
              <c:layout>
                <c:manualLayout>
                  <c:x val="-1.1111111111111112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38-4741-B9AB-0D13625B1B10}"/>
                </c:ext>
              </c:extLst>
            </c:dLbl>
            <c:dLbl>
              <c:idx val="2"/>
              <c:layout>
                <c:manualLayout>
                  <c:x val="-2.7777777777777776E-2"/>
                  <c:y val="6.018518518518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38-4741-B9AB-0D13625B1B10}"/>
                </c:ext>
              </c:extLst>
            </c:dLbl>
            <c:dLbl>
              <c:idx val="3"/>
              <c:layout>
                <c:manualLayout>
                  <c:x val="-1.3888888888888888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38-4741-B9AB-0D13625B1B10}"/>
                </c:ext>
              </c:extLst>
            </c:dLbl>
            <c:dLbl>
              <c:idx val="4"/>
              <c:layout>
                <c:manualLayout>
                  <c:x val="-5.5555555555555046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38-4741-B9AB-0D13625B1B10}"/>
                </c:ext>
              </c:extLst>
            </c:dLbl>
            <c:dLbl>
              <c:idx val="5"/>
              <c:layout>
                <c:manualLayout>
                  <c:x val="-2.2222222222222223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38-4741-B9AB-0D13625B1B10}"/>
                </c:ext>
              </c:extLst>
            </c:dLbl>
            <c:dLbl>
              <c:idx val="6"/>
              <c:layout>
                <c:manualLayout>
                  <c:x val="-1.1111111111111112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38-4741-B9AB-0D13625B1B10}"/>
                </c:ext>
              </c:extLst>
            </c:dLbl>
            <c:dLbl>
              <c:idx val="7"/>
              <c:layout>
                <c:manualLayout>
                  <c:x val="-8.3333333333333332E-3"/>
                  <c:y val="-3.2407407407407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38-4741-B9AB-0D13625B1B10}"/>
                </c:ext>
              </c:extLst>
            </c:dLbl>
            <c:dLbl>
              <c:idx val="9"/>
              <c:layout>
                <c:manualLayout>
                  <c:x val="-3.0555555555555555E-2"/>
                  <c:y val="4.16666666666665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38-4741-B9AB-0D13625B1B10}"/>
                </c:ext>
              </c:extLst>
            </c:dLbl>
            <c:dLbl>
              <c:idx val="10"/>
              <c:layout>
                <c:manualLayout>
                  <c:x val="-1.9444444444444445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38-4741-B9AB-0D13625B1B10}"/>
                </c:ext>
              </c:extLst>
            </c:dLbl>
            <c:dLbl>
              <c:idx val="11"/>
              <c:layout>
                <c:manualLayout>
                  <c:x val="-3.1491930192888075E-2"/>
                  <c:y val="-3.946997462644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AD-40CD-A206-774B429B349B}"/>
                </c:ext>
              </c:extLst>
            </c:dLbl>
            <c:dLbl>
              <c:idx val="12"/>
              <c:layout>
                <c:manualLayout>
                  <c:x val="-1.3121637580370223E-2"/>
                  <c:y val="3.9469974626444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AD-40CD-A206-774B429B349B}"/>
                </c:ext>
              </c:extLst>
            </c:dLbl>
            <c:dLbl>
              <c:idx val="13"/>
              <c:layout>
                <c:manualLayout>
                  <c:x val="-1.8370292612518043E-2"/>
                  <c:y val="4.5108542430222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AD-40CD-A206-774B429B349B}"/>
                </c:ext>
              </c:extLst>
            </c:dLbl>
            <c:dLbl>
              <c:idx val="14"/>
              <c:layout>
                <c:manualLayout>
                  <c:x val="-3.4116257708962081E-2"/>
                  <c:y val="-3.3831406822667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AD-40CD-A206-774B429B34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Foglio2!$B$3:$P$3</c:f>
              <c:strCache>
                <c:ptCount val="15"/>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pt idx="14">
                  <c:v>2022</c:v>
                </c:pt>
              </c:strCache>
            </c:strRef>
          </c:cat>
          <c:val>
            <c:numRef>
              <c:f>Foglio2!$B$9:$P$9</c:f>
              <c:numCache>
                <c:formatCode>0</c:formatCode>
                <c:ptCount val="15"/>
                <c:pt idx="0" formatCode="General">
                  <c:v>100</c:v>
                </c:pt>
                <c:pt idx="1">
                  <c:v>105.75541538559565</c:v>
                </c:pt>
                <c:pt idx="2">
                  <c:v>101.54997968377009</c:v>
                </c:pt>
                <c:pt idx="3">
                  <c:v>101.91746425245864</c:v>
                </c:pt>
                <c:pt idx="4">
                  <c:v>100.32973985390082</c:v>
                </c:pt>
                <c:pt idx="5">
                  <c:v>97.881658315838891</c:v>
                </c:pt>
                <c:pt idx="6">
                  <c:v>97.559297001015082</c:v>
                </c:pt>
                <c:pt idx="7">
                  <c:v>94.657449891849964</c:v>
                </c:pt>
                <c:pt idx="8">
                  <c:v>93.28367395021651</c:v>
                </c:pt>
                <c:pt idx="9">
                  <c:v>91.584965610975274</c:v>
                </c:pt>
                <c:pt idx="10">
                  <c:v>90.765059834237476</c:v>
                </c:pt>
                <c:pt idx="11">
                  <c:v>91.61565571612303</c:v>
                </c:pt>
                <c:pt idx="12">
                  <c:v>82.662587068775778</c:v>
                </c:pt>
                <c:pt idx="13">
                  <c:v>89.438647228964342</c:v>
                </c:pt>
                <c:pt idx="14">
                  <c:v>91.96179647596459</c:v>
                </c:pt>
              </c:numCache>
            </c:numRef>
          </c:val>
          <c:smooth val="0"/>
          <c:extLst>
            <c:ext xmlns:c16="http://schemas.microsoft.com/office/drawing/2014/chart" uri="{C3380CC4-5D6E-409C-BE32-E72D297353CC}">
              <c16:uniqueId val="{00000009-6C38-4741-B9AB-0D13625B1B10}"/>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733467304"/>
        <c:axId val="733468944"/>
      </c:lineChart>
      <c:catAx>
        <c:axId val="73346730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it-IT"/>
          </a:p>
        </c:txPr>
        <c:crossAx val="733468944"/>
        <c:crosses val="autoZero"/>
        <c:auto val="1"/>
        <c:lblAlgn val="ctr"/>
        <c:lblOffset val="100"/>
        <c:noMultiLvlLbl val="0"/>
      </c:catAx>
      <c:valAx>
        <c:axId val="733468944"/>
        <c:scaling>
          <c:orientation val="minMax"/>
        </c:scaling>
        <c:delete val="1"/>
        <c:axPos val="l"/>
        <c:numFmt formatCode="General" sourceLinked="1"/>
        <c:majorTickMark val="none"/>
        <c:minorTickMark val="none"/>
        <c:tickLblPos val="nextTo"/>
        <c:crossAx val="733467304"/>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9424548726503E-3"/>
          <c:y val="6.0201096186506098E-2"/>
          <c:w val="0.97004674765916954"/>
          <c:h val="0.68185804718419241"/>
        </c:manualLayout>
      </c:layout>
      <c:lineChart>
        <c:grouping val="standard"/>
        <c:varyColors val="0"/>
        <c:ser>
          <c:idx val="1"/>
          <c:order val="0"/>
          <c:tx>
            <c:strRef>
              <c:f>tend!$A$6</c:f>
              <c:strCache>
                <c:ptCount val="1"/>
                <c:pt idx="0">
                  <c:v>prezzi al consumo</c:v>
                </c:pt>
              </c:strCache>
            </c:strRef>
          </c:tx>
          <c:spPr>
            <a:ln w="28575">
              <a:solidFill>
                <a:schemeClr val="bg1">
                  <a:lumMod val="50000"/>
                </a:schemeClr>
              </a:solidFill>
            </a:ln>
          </c:spPr>
          <c:marker>
            <c:symbol val="none"/>
          </c:marker>
          <c:cat>
            <c:multiLvlStrRef>
              <c:f>tend!$AL$3:$CS$4</c:f>
              <c:multiLvlStrCache>
                <c:ptCount val="60"/>
                <c:lvl>
                  <c:pt idx="0">
                    <c:v>gen</c:v>
                  </c:pt>
                  <c:pt idx="1">
                    <c:v>feb</c:v>
                  </c:pt>
                  <c:pt idx="2">
                    <c:v>mar</c:v>
                  </c:pt>
                  <c:pt idx="3">
                    <c:v>apr</c:v>
                  </c:pt>
                  <c:pt idx="4">
                    <c:v>mag</c:v>
                  </c:pt>
                  <c:pt idx="5">
                    <c:v>giu</c:v>
                  </c:pt>
                  <c:pt idx="6">
                    <c:v>lug</c:v>
                  </c:pt>
                  <c:pt idx="7">
                    <c:v>ago</c:v>
                  </c:pt>
                  <c:pt idx="8">
                    <c:v>set</c:v>
                  </c:pt>
                  <c:pt idx="9">
                    <c:v>ott</c:v>
                  </c:pt>
                  <c:pt idx="10">
                    <c:v>nov</c:v>
                  </c:pt>
                  <c:pt idx="11">
                    <c:v>dic</c:v>
                  </c:pt>
                  <c:pt idx="12">
                    <c:v>gen</c:v>
                  </c:pt>
                  <c:pt idx="13">
                    <c:v>feb</c:v>
                  </c:pt>
                  <c:pt idx="14">
                    <c:v>mar</c:v>
                  </c:pt>
                  <c:pt idx="15">
                    <c:v>apr</c:v>
                  </c:pt>
                  <c:pt idx="16">
                    <c:v>mag</c:v>
                  </c:pt>
                  <c:pt idx="17">
                    <c:v>giu</c:v>
                  </c:pt>
                  <c:pt idx="18">
                    <c:v>lug</c:v>
                  </c:pt>
                  <c:pt idx="19">
                    <c:v>ago</c:v>
                  </c:pt>
                  <c:pt idx="20">
                    <c:v>set</c:v>
                  </c:pt>
                  <c:pt idx="21">
                    <c:v>ott</c:v>
                  </c:pt>
                  <c:pt idx="22">
                    <c:v>nov</c:v>
                  </c:pt>
                  <c:pt idx="23">
                    <c:v>dic</c:v>
                  </c:pt>
                  <c:pt idx="24">
                    <c:v>gen</c:v>
                  </c:pt>
                  <c:pt idx="25">
                    <c:v>feb</c:v>
                  </c:pt>
                  <c:pt idx="26">
                    <c:v>mar</c:v>
                  </c:pt>
                  <c:pt idx="27">
                    <c:v>apr</c:v>
                  </c:pt>
                  <c:pt idx="28">
                    <c:v>mag</c:v>
                  </c:pt>
                  <c:pt idx="29">
                    <c:v>giu</c:v>
                  </c:pt>
                  <c:pt idx="30">
                    <c:v>lug</c:v>
                  </c:pt>
                  <c:pt idx="31">
                    <c:v>ago</c:v>
                  </c:pt>
                  <c:pt idx="32">
                    <c:v>set</c:v>
                  </c:pt>
                  <c:pt idx="33">
                    <c:v>ott</c:v>
                  </c:pt>
                  <c:pt idx="34">
                    <c:v>nov</c:v>
                  </c:pt>
                  <c:pt idx="35">
                    <c:v>dic</c:v>
                  </c:pt>
                  <c:pt idx="36">
                    <c:v>gen</c:v>
                  </c:pt>
                  <c:pt idx="37">
                    <c:v>feb</c:v>
                  </c:pt>
                  <c:pt idx="38">
                    <c:v>mar</c:v>
                  </c:pt>
                  <c:pt idx="39">
                    <c:v>apr</c:v>
                  </c:pt>
                  <c:pt idx="40">
                    <c:v>mag</c:v>
                  </c:pt>
                  <c:pt idx="41">
                    <c:v>giu</c:v>
                  </c:pt>
                  <c:pt idx="42">
                    <c:v>lug</c:v>
                  </c:pt>
                  <c:pt idx="43">
                    <c:v>ago</c:v>
                  </c:pt>
                  <c:pt idx="44">
                    <c:v>set</c:v>
                  </c:pt>
                  <c:pt idx="45">
                    <c:v>ott</c:v>
                  </c:pt>
                  <c:pt idx="46">
                    <c:v>nov</c:v>
                  </c:pt>
                  <c:pt idx="47">
                    <c:v>dic</c:v>
                  </c:pt>
                  <c:pt idx="48">
                    <c:v>gen</c:v>
                  </c:pt>
                  <c:pt idx="49">
                    <c:v>feb</c:v>
                  </c:pt>
                  <c:pt idx="50">
                    <c:v>mar</c:v>
                  </c:pt>
                  <c:pt idx="51">
                    <c:v>apr</c:v>
                  </c:pt>
                  <c:pt idx="52">
                    <c:v>mag</c:v>
                  </c:pt>
                  <c:pt idx="53">
                    <c:v>giu</c:v>
                  </c:pt>
                  <c:pt idx="54">
                    <c:v>lug</c:v>
                  </c:pt>
                  <c:pt idx="55">
                    <c:v>ago</c:v>
                  </c:pt>
                  <c:pt idx="56">
                    <c:v>set</c:v>
                  </c:pt>
                  <c:pt idx="57">
                    <c:v>ott</c:v>
                  </c:pt>
                  <c:pt idx="58">
                    <c:v>nov</c:v>
                  </c:pt>
                  <c:pt idx="59">
                    <c:v>dic</c:v>
                  </c:pt>
                </c:lvl>
                <c:lvl>
                  <c:pt idx="0">
                    <c:v>2018</c:v>
                  </c:pt>
                  <c:pt idx="12">
                    <c:v>2019</c:v>
                  </c:pt>
                  <c:pt idx="24">
                    <c:v>2020</c:v>
                  </c:pt>
                  <c:pt idx="36">
                    <c:v>2021</c:v>
                  </c:pt>
                  <c:pt idx="48">
                    <c:v>2022</c:v>
                  </c:pt>
                </c:lvl>
              </c:multiLvlStrCache>
            </c:multiLvlStrRef>
          </c:cat>
          <c:val>
            <c:numRef>
              <c:f>tend!$AL$6:$CS$6</c:f>
              <c:numCache>
                <c:formatCode>General</c:formatCode>
                <c:ptCount val="60"/>
                <c:pt idx="0">
                  <c:v>0.9</c:v>
                </c:pt>
                <c:pt idx="1">
                  <c:v>0.5</c:v>
                </c:pt>
                <c:pt idx="2">
                  <c:v>0.8</c:v>
                </c:pt>
                <c:pt idx="3">
                  <c:v>0.5</c:v>
                </c:pt>
                <c:pt idx="4">
                  <c:v>1</c:v>
                </c:pt>
                <c:pt idx="5">
                  <c:v>1.3</c:v>
                </c:pt>
                <c:pt idx="6">
                  <c:v>1.5</c:v>
                </c:pt>
                <c:pt idx="7">
                  <c:v>1.6</c:v>
                </c:pt>
                <c:pt idx="8">
                  <c:v>1.4</c:v>
                </c:pt>
                <c:pt idx="9">
                  <c:v>1.6</c:v>
                </c:pt>
                <c:pt idx="10">
                  <c:v>1.6</c:v>
                </c:pt>
                <c:pt idx="11">
                  <c:v>1.1000000000000001</c:v>
                </c:pt>
                <c:pt idx="12">
                  <c:v>0.9</c:v>
                </c:pt>
                <c:pt idx="13">
                  <c:v>1</c:v>
                </c:pt>
                <c:pt idx="14">
                  <c:v>1</c:v>
                </c:pt>
                <c:pt idx="15">
                  <c:v>1.1000000000000001</c:v>
                </c:pt>
                <c:pt idx="16">
                  <c:v>0.8</c:v>
                </c:pt>
                <c:pt idx="17">
                  <c:v>0.7</c:v>
                </c:pt>
                <c:pt idx="18">
                  <c:v>0.4</c:v>
                </c:pt>
                <c:pt idx="19">
                  <c:v>0.4</c:v>
                </c:pt>
                <c:pt idx="20">
                  <c:v>0.3</c:v>
                </c:pt>
                <c:pt idx="21">
                  <c:v>0.2</c:v>
                </c:pt>
                <c:pt idx="22">
                  <c:v>0.2</c:v>
                </c:pt>
                <c:pt idx="23">
                  <c:v>0.5</c:v>
                </c:pt>
                <c:pt idx="24">
                  <c:v>0.5</c:v>
                </c:pt>
                <c:pt idx="25">
                  <c:v>0.3</c:v>
                </c:pt>
                <c:pt idx="26">
                  <c:v>0.1</c:v>
                </c:pt>
                <c:pt idx="27">
                  <c:v>0</c:v>
                </c:pt>
                <c:pt idx="28">
                  <c:v>-0.2</c:v>
                </c:pt>
                <c:pt idx="29">
                  <c:v>-0.2</c:v>
                </c:pt>
                <c:pt idx="30">
                  <c:v>-0.4</c:v>
                </c:pt>
                <c:pt idx="31">
                  <c:v>-0.5</c:v>
                </c:pt>
                <c:pt idx="32">
                  <c:v>-0.6</c:v>
                </c:pt>
                <c:pt idx="33">
                  <c:v>-0.3</c:v>
                </c:pt>
                <c:pt idx="34">
                  <c:v>-0.2</c:v>
                </c:pt>
                <c:pt idx="35">
                  <c:v>-0.2</c:v>
                </c:pt>
                <c:pt idx="36">
                  <c:v>0.4</c:v>
                </c:pt>
                <c:pt idx="37">
                  <c:v>0.6</c:v>
                </c:pt>
                <c:pt idx="38">
                  <c:v>0.8</c:v>
                </c:pt>
                <c:pt idx="39">
                  <c:v>1.1000000000000001</c:v>
                </c:pt>
                <c:pt idx="40">
                  <c:v>1.3</c:v>
                </c:pt>
                <c:pt idx="41">
                  <c:v>1.3</c:v>
                </c:pt>
                <c:pt idx="42" formatCode="0.0">
                  <c:v>1.9474196689386503</c:v>
                </c:pt>
                <c:pt idx="43" formatCode="0.0">
                  <c:v>2.0388349514563089</c:v>
                </c:pt>
                <c:pt idx="44">
                  <c:v>2.5</c:v>
                </c:pt>
                <c:pt idx="45">
                  <c:v>3</c:v>
                </c:pt>
                <c:pt idx="46" formatCode="0.0">
                  <c:v>3.7</c:v>
                </c:pt>
                <c:pt idx="47" formatCode="0.0">
                  <c:v>3.9</c:v>
                </c:pt>
                <c:pt idx="48">
                  <c:v>4.8</c:v>
                </c:pt>
                <c:pt idx="49">
                  <c:v>5.7</c:v>
                </c:pt>
                <c:pt idx="50">
                  <c:v>6.5</c:v>
                </c:pt>
                <c:pt idx="51" formatCode="0.0">
                  <c:v>6</c:v>
                </c:pt>
                <c:pt idx="52">
                  <c:v>6.8</c:v>
                </c:pt>
                <c:pt idx="53">
                  <c:v>8</c:v>
                </c:pt>
                <c:pt idx="54">
                  <c:v>7.9</c:v>
                </c:pt>
                <c:pt idx="55">
                  <c:v>8.4</c:v>
                </c:pt>
                <c:pt idx="56">
                  <c:v>8.9</c:v>
                </c:pt>
                <c:pt idx="57">
                  <c:v>11.8</c:v>
                </c:pt>
                <c:pt idx="58">
                  <c:v>11.8</c:v>
                </c:pt>
                <c:pt idx="59">
                  <c:v>11.6</c:v>
                </c:pt>
              </c:numCache>
            </c:numRef>
          </c:val>
          <c:smooth val="0"/>
          <c:extLst>
            <c:ext xmlns:c16="http://schemas.microsoft.com/office/drawing/2014/chart" uri="{C3380CC4-5D6E-409C-BE32-E72D297353CC}">
              <c16:uniqueId val="{00000000-0636-44CD-91AF-637C8D116DDA}"/>
            </c:ext>
          </c:extLst>
        </c:ser>
        <c:ser>
          <c:idx val="2"/>
          <c:order val="1"/>
          <c:tx>
            <c:strRef>
              <c:f>tend!$A$5</c:f>
              <c:strCache>
                <c:ptCount val="1"/>
                <c:pt idx="0">
                  <c:v>servizi di ristorazione</c:v>
                </c:pt>
              </c:strCache>
            </c:strRef>
          </c:tx>
          <c:spPr>
            <a:ln w="34925">
              <a:solidFill>
                <a:schemeClr val="accent1"/>
              </a:solidFill>
            </a:ln>
          </c:spPr>
          <c:marker>
            <c:symbol val="none"/>
          </c:marker>
          <c:cat>
            <c:multiLvlStrRef>
              <c:f>tend!$AL$3:$CS$4</c:f>
              <c:multiLvlStrCache>
                <c:ptCount val="60"/>
                <c:lvl>
                  <c:pt idx="0">
                    <c:v>gen</c:v>
                  </c:pt>
                  <c:pt idx="1">
                    <c:v>feb</c:v>
                  </c:pt>
                  <c:pt idx="2">
                    <c:v>mar</c:v>
                  </c:pt>
                  <c:pt idx="3">
                    <c:v>apr</c:v>
                  </c:pt>
                  <c:pt idx="4">
                    <c:v>mag</c:v>
                  </c:pt>
                  <c:pt idx="5">
                    <c:v>giu</c:v>
                  </c:pt>
                  <c:pt idx="6">
                    <c:v>lug</c:v>
                  </c:pt>
                  <c:pt idx="7">
                    <c:v>ago</c:v>
                  </c:pt>
                  <c:pt idx="8">
                    <c:v>set</c:v>
                  </c:pt>
                  <c:pt idx="9">
                    <c:v>ott</c:v>
                  </c:pt>
                  <c:pt idx="10">
                    <c:v>nov</c:v>
                  </c:pt>
                  <c:pt idx="11">
                    <c:v>dic</c:v>
                  </c:pt>
                  <c:pt idx="12">
                    <c:v>gen</c:v>
                  </c:pt>
                  <c:pt idx="13">
                    <c:v>feb</c:v>
                  </c:pt>
                  <c:pt idx="14">
                    <c:v>mar</c:v>
                  </c:pt>
                  <c:pt idx="15">
                    <c:v>apr</c:v>
                  </c:pt>
                  <c:pt idx="16">
                    <c:v>mag</c:v>
                  </c:pt>
                  <c:pt idx="17">
                    <c:v>giu</c:v>
                  </c:pt>
                  <c:pt idx="18">
                    <c:v>lug</c:v>
                  </c:pt>
                  <c:pt idx="19">
                    <c:v>ago</c:v>
                  </c:pt>
                  <c:pt idx="20">
                    <c:v>set</c:v>
                  </c:pt>
                  <c:pt idx="21">
                    <c:v>ott</c:v>
                  </c:pt>
                  <c:pt idx="22">
                    <c:v>nov</c:v>
                  </c:pt>
                  <c:pt idx="23">
                    <c:v>dic</c:v>
                  </c:pt>
                  <c:pt idx="24">
                    <c:v>gen</c:v>
                  </c:pt>
                  <c:pt idx="25">
                    <c:v>feb</c:v>
                  </c:pt>
                  <c:pt idx="26">
                    <c:v>mar</c:v>
                  </c:pt>
                  <c:pt idx="27">
                    <c:v>apr</c:v>
                  </c:pt>
                  <c:pt idx="28">
                    <c:v>mag</c:v>
                  </c:pt>
                  <c:pt idx="29">
                    <c:v>giu</c:v>
                  </c:pt>
                  <c:pt idx="30">
                    <c:v>lug</c:v>
                  </c:pt>
                  <c:pt idx="31">
                    <c:v>ago</c:v>
                  </c:pt>
                  <c:pt idx="32">
                    <c:v>set</c:v>
                  </c:pt>
                  <c:pt idx="33">
                    <c:v>ott</c:v>
                  </c:pt>
                  <c:pt idx="34">
                    <c:v>nov</c:v>
                  </c:pt>
                  <c:pt idx="35">
                    <c:v>dic</c:v>
                  </c:pt>
                  <c:pt idx="36">
                    <c:v>gen</c:v>
                  </c:pt>
                  <c:pt idx="37">
                    <c:v>feb</c:v>
                  </c:pt>
                  <c:pt idx="38">
                    <c:v>mar</c:v>
                  </c:pt>
                  <c:pt idx="39">
                    <c:v>apr</c:v>
                  </c:pt>
                  <c:pt idx="40">
                    <c:v>mag</c:v>
                  </c:pt>
                  <c:pt idx="41">
                    <c:v>giu</c:v>
                  </c:pt>
                  <c:pt idx="42">
                    <c:v>lug</c:v>
                  </c:pt>
                  <c:pt idx="43">
                    <c:v>ago</c:v>
                  </c:pt>
                  <c:pt idx="44">
                    <c:v>set</c:v>
                  </c:pt>
                  <c:pt idx="45">
                    <c:v>ott</c:v>
                  </c:pt>
                  <c:pt idx="46">
                    <c:v>nov</c:v>
                  </c:pt>
                  <c:pt idx="47">
                    <c:v>dic</c:v>
                  </c:pt>
                  <c:pt idx="48">
                    <c:v>gen</c:v>
                  </c:pt>
                  <c:pt idx="49">
                    <c:v>feb</c:v>
                  </c:pt>
                  <c:pt idx="50">
                    <c:v>mar</c:v>
                  </c:pt>
                  <c:pt idx="51">
                    <c:v>apr</c:v>
                  </c:pt>
                  <c:pt idx="52">
                    <c:v>mag</c:v>
                  </c:pt>
                  <c:pt idx="53">
                    <c:v>giu</c:v>
                  </c:pt>
                  <c:pt idx="54">
                    <c:v>lug</c:v>
                  </c:pt>
                  <c:pt idx="55">
                    <c:v>ago</c:v>
                  </c:pt>
                  <c:pt idx="56">
                    <c:v>set</c:v>
                  </c:pt>
                  <c:pt idx="57">
                    <c:v>ott</c:v>
                  </c:pt>
                  <c:pt idx="58">
                    <c:v>nov</c:v>
                  </c:pt>
                  <c:pt idx="59">
                    <c:v>dic</c:v>
                  </c:pt>
                </c:lvl>
                <c:lvl>
                  <c:pt idx="0">
                    <c:v>2018</c:v>
                  </c:pt>
                  <c:pt idx="12">
                    <c:v>2019</c:v>
                  </c:pt>
                  <c:pt idx="24">
                    <c:v>2020</c:v>
                  </c:pt>
                  <c:pt idx="36">
                    <c:v>2021</c:v>
                  </c:pt>
                  <c:pt idx="48">
                    <c:v>2022</c:v>
                  </c:pt>
                </c:lvl>
              </c:multiLvlStrCache>
            </c:multiLvlStrRef>
          </c:cat>
          <c:val>
            <c:numRef>
              <c:f>tend!$AL$5:$CS$5</c:f>
              <c:numCache>
                <c:formatCode>General</c:formatCode>
                <c:ptCount val="60"/>
                <c:pt idx="0">
                  <c:v>1.2</c:v>
                </c:pt>
                <c:pt idx="1">
                  <c:v>1.2</c:v>
                </c:pt>
                <c:pt idx="2">
                  <c:v>1.3</c:v>
                </c:pt>
                <c:pt idx="3">
                  <c:v>1.3</c:v>
                </c:pt>
                <c:pt idx="4">
                  <c:v>1.3</c:v>
                </c:pt>
                <c:pt idx="5">
                  <c:v>1.2</c:v>
                </c:pt>
                <c:pt idx="6">
                  <c:v>1.3</c:v>
                </c:pt>
                <c:pt idx="7">
                  <c:v>1.3</c:v>
                </c:pt>
                <c:pt idx="8">
                  <c:v>1.3</c:v>
                </c:pt>
                <c:pt idx="9">
                  <c:v>1.3</c:v>
                </c:pt>
                <c:pt idx="10">
                  <c:v>1.5</c:v>
                </c:pt>
                <c:pt idx="11">
                  <c:v>1.5</c:v>
                </c:pt>
                <c:pt idx="12">
                  <c:v>1.5</c:v>
                </c:pt>
                <c:pt idx="13">
                  <c:v>1.5</c:v>
                </c:pt>
                <c:pt idx="14">
                  <c:v>1.4</c:v>
                </c:pt>
                <c:pt idx="15">
                  <c:v>1.4</c:v>
                </c:pt>
                <c:pt idx="16">
                  <c:v>1.4</c:v>
                </c:pt>
                <c:pt idx="17">
                  <c:v>1.4</c:v>
                </c:pt>
                <c:pt idx="18">
                  <c:v>1.4</c:v>
                </c:pt>
                <c:pt idx="19">
                  <c:v>1.4</c:v>
                </c:pt>
                <c:pt idx="20">
                  <c:v>1.4</c:v>
                </c:pt>
                <c:pt idx="21">
                  <c:v>1.4</c:v>
                </c:pt>
                <c:pt idx="22">
                  <c:v>1.3</c:v>
                </c:pt>
                <c:pt idx="23">
                  <c:v>1.3</c:v>
                </c:pt>
                <c:pt idx="24">
                  <c:v>1.3</c:v>
                </c:pt>
                <c:pt idx="25">
                  <c:v>1.3</c:v>
                </c:pt>
                <c:pt idx="26">
                  <c:v>1.2</c:v>
                </c:pt>
                <c:pt idx="27">
                  <c:v>1.1000000000000001</c:v>
                </c:pt>
                <c:pt idx="28">
                  <c:v>1.1000000000000001</c:v>
                </c:pt>
                <c:pt idx="29">
                  <c:v>1.2</c:v>
                </c:pt>
                <c:pt idx="30">
                  <c:v>1.2</c:v>
                </c:pt>
                <c:pt idx="31">
                  <c:v>1.1000000000000001</c:v>
                </c:pt>
                <c:pt idx="32">
                  <c:v>1.1000000000000001</c:v>
                </c:pt>
                <c:pt idx="33">
                  <c:v>1.2</c:v>
                </c:pt>
                <c:pt idx="34">
                  <c:v>1</c:v>
                </c:pt>
                <c:pt idx="35">
                  <c:v>1</c:v>
                </c:pt>
                <c:pt idx="36">
                  <c:v>1.3</c:v>
                </c:pt>
                <c:pt idx="37">
                  <c:v>1.2</c:v>
                </c:pt>
                <c:pt idx="38">
                  <c:v>1.3</c:v>
                </c:pt>
                <c:pt idx="39">
                  <c:v>1.4</c:v>
                </c:pt>
                <c:pt idx="40">
                  <c:v>1.6</c:v>
                </c:pt>
                <c:pt idx="41">
                  <c:v>1.9</c:v>
                </c:pt>
                <c:pt idx="42">
                  <c:v>2</c:v>
                </c:pt>
                <c:pt idx="43">
                  <c:v>2.2000000000000002</c:v>
                </c:pt>
                <c:pt idx="44">
                  <c:v>2.2000000000000002</c:v>
                </c:pt>
                <c:pt idx="45">
                  <c:v>2.2000000000000002</c:v>
                </c:pt>
                <c:pt idx="46" formatCode="0.0">
                  <c:v>2.4390243902439011</c:v>
                </c:pt>
                <c:pt idx="47" formatCode="0.0">
                  <c:v>2.717900656044975</c:v>
                </c:pt>
                <c:pt idx="48">
                  <c:v>2.7</c:v>
                </c:pt>
                <c:pt idx="49">
                  <c:v>3.2</c:v>
                </c:pt>
                <c:pt idx="50">
                  <c:v>3.6</c:v>
                </c:pt>
                <c:pt idx="51" formatCode="0.0">
                  <c:v>4.0968342644320188</c:v>
                </c:pt>
                <c:pt idx="52">
                  <c:v>4.5</c:v>
                </c:pt>
                <c:pt idx="53">
                  <c:v>4.4000000000000004</c:v>
                </c:pt>
                <c:pt idx="54">
                  <c:v>4.8</c:v>
                </c:pt>
                <c:pt idx="55">
                  <c:v>5</c:v>
                </c:pt>
                <c:pt idx="56">
                  <c:v>5.9</c:v>
                </c:pt>
                <c:pt idx="57">
                  <c:v>6.5</c:v>
                </c:pt>
                <c:pt idx="58">
                  <c:v>7.1</c:v>
                </c:pt>
                <c:pt idx="59">
                  <c:v>4.9000000000000004</c:v>
                </c:pt>
              </c:numCache>
            </c:numRef>
          </c:val>
          <c:smooth val="0"/>
          <c:extLst>
            <c:ext xmlns:c16="http://schemas.microsoft.com/office/drawing/2014/chart" uri="{C3380CC4-5D6E-409C-BE32-E72D297353CC}">
              <c16:uniqueId val="{00000001-0636-44CD-91AF-637C8D116DDA}"/>
            </c:ext>
          </c:extLst>
        </c:ser>
        <c:dLbls>
          <c:showLegendKey val="0"/>
          <c:showVal val="0"/>
          <c:showCatName val="0"/>
          <c:showSerName val="0"/>
          <c:showPercent val="0"/>
          <c:showBubbleSize val="0"/>
        </c:dLbls>
        <c:smooth val="0"/>
        <c:axId val="53028352"/>
        <c:axId val="53029888"/>
      </c:lineChart>
      <c:catAx>
        <c:axId val="53028352"/>
        <c:scaling>
          <c:orientation val="minMax"/>
        </c:scaling>
        <c:delete val="0"/>
        <c:axPos val="b"/>
        <c:numFmt formatCode="General" sourceLinked="1"/>
        <c:majorTickMark val="out"/>
        <c:minorTickMark val="none"/>
        <c:tickLblPos val="low"/>
        <c:txPr>
          <a:bodyPr rot="-5400000" vert="horz"/>
          <a:lstStyle/>
          <a:p>
            <a:pPr>
              <a:defRPr sz="800" b="0" i="0" u="none" strike="noStrike" baseline="0">
                <a:solidFill>
                  <a:srgbClr val="000000"/>
                </a:solidFill>
                <a:latin typeface="Calibri"/>
                <a:ea typeface="Calibri"/>
                <a:cs typeface="Calibri"/>
              </a:defRPr>
            </a:pPr>
            <a:endParaRPr lang="it-IT"/>
          </a:p>
        </c:txPr>
        <c:crossAx val="53029888"/>
        <c:crosses val="autoZero"/>
        <c:auto val="1"/>
        <c:lblAlgn val="ctr"/>
        <c:lblOffset val="100"/>
        <c:tickLblSkip val="1"/>
        <c:tickMarkSkip val="1"/>
        <c:noMultiLvlLbl val="0"/>
      </c:catAx>
      <c:valAx>
        <c:axId val="53029888"/>
        <c:scaling>
          <c:orientation val="minMax"/>
        </c:scaling>
        <c:delete val="1"/>
        <c:axPos val="l"/>
        <c:numFmt formatCode="General" sourceLinked="1"/>
        <c:majorTickMark val="out"/>
        <c:minorTickMark val="none"/>
        <c:tickLblPos val="nextTo"/>
        <c:crossAx val="53028352"/>
        <c:crosses val="autoZero"/>
        <c:crossBetween val="between"/>
      </c:valAx>
    </c:plotArea>
    <c:legend>
      <c:legendPos val="r"/>
      <c:layout>
        <c:manualLayout>
          <c:xMode val="edge"/>
          <c:yMode val="edge"/>
          <c:x val="0.23562507446528411"/>
          <c:y val="0.90196768831113705"/>
          <c:w val="0.54166747675059135"/>
          <c:h val="9.4203278937958879E-2"/>
        </c:manualLayout>
      </c:layout>
      <c:overlay val="0"/>
      <c:txPr>
        <a:bodyPr/>
        <a:lstStyle/>
        <a:p>
          <a:pPr>
            <a:defRPr sz="900" b="0" i="0" u="none" strike="noStrike" baseline="0">
              <a:solidFill>
                <a:srgbClr val="000000"/>
              </a:solidFill>
              <a:latin typeface="Calibri"/>
              <a:ea typeface="Calibri"/>
              <a:cs typeface="Calibri"/>
            </a:defRPr>
          </a:pPr>
          <a:endParaRPr lang="it-IT"/>
        </a:p>
      </c:txPr>
    </c:legend>
    <c:plotVisOnly val="1"/>
    <c:dispBlanksAs val="gap"/>
    <c:showDLblsOverMax val="0"/>
  </c:chart>
  <c:spPr>
    <a:ln>
      <a:solidFill>
        <a:schemeClr val="tx1">
          <a:lumMod val="50000"/>
          <a:lumOff val="50000"/>
        </a:schemeClr>
      </a:solidFill>
    </a:ln>
  </c:spPr>
  <c:txPr>
    <a:bodyPr/>
    <a:lstStyle/>
    <a:p>
      <a:pPr>
        <a:defRPr sz="1000" b="0" i="0" u="none" strike="noStrike" baseline="0">
          <a:solidFill>
            <a:srgbClr val="000000"/>
          </a:solidFill>
          <a:latin typeface="Calibri"/>
          <a:ea typeface="Calibri"/>
          <a:cs typeface="Calibri"/>
        </a:defRPr>
      </a:pPr>
      <a:endParaRPr lang="it-I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0.06194</cdr:x>
      <cdr:y>0.32915</cdr:y>
    </cdr:from>
    <cdr:to>
      <cdr:x>0.97549</cdr:x>
      <cdr:y>0.32915</cdr:y>
    </cdr:to>
    <cdr:sp macro="" textlink="">
      <cdr:nvSpPr>
        <cdr:cNvPr id="4" name="Line 3">
          <a:extLst xmlns:a="http://schemas.openxmlformats.org/drawingml/2006/main">
            <a:ext uri="{FF2B5EF4-FFF2-40B4-BE49-F238E27FC236}">
              <a16:creationId xmlns:a16="http://schemas.microsoft.com/office/drawing/2014/main" id="{7C8D1ACC-6904-4C41-A5CB-D09AC7802DD9}"/>
            </a:ext>
          </a:extLst>
        </cdr:cNvPr>
        <cdr:cNvSpPr>
          <a:spLocks xmlns:a="http://schemas.openxmlformats.org/drawingml/2006/main" noChangeShapeType="1"/>
        </cdr:cNvSpPr>
      </cdr:nvSpPr>
      <cdr:spPr bwMode="auto">
        <a:xfrm xmlns:a="http://schemas.openxmlformats.org/drawingml/2006/main">
          <a:off x="264795" y="649605"/>
          <a:ext cx="3905250" cy="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808080" mc:Ignorable="a14" a14:legacySpreadsheetColorIndex="23"/>
          </a:solidFill>
          <a:prstDash val="lgDash"/>
          <a:round/>
          <a:headEnd/>
          <a:tailEnd/>
        </a:ln>
        <a:effectLst xmlns:a="http://schemas.openxmlformats.org/drawingml/2006/main"/>
        <a:extLst xmlns:a="http://schemas.openxmlformats.org/drawingml/2006/main">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square"/>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endParaRPr lang="it-IT"/>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2618</Words>
  <Characters>14924</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Erba</dc:creator>
  <cp:keywords/>
  <dc:description/>
  <cp:lastModifiedBy>Giulia Palocci</cp:lastModifiedBy>
  <cp:revision>6</cp:revision>
  <cp:lastPrinted>2023-03-28T08:14:00Z</cp:lastPrinted>
  <dcterms:created xsi:type="dcterms:W3CDTF">2023-03-28T07:53:00Z</dcterms:created>
  <dcterms:modified xsi:type="dcterms:W3CDTF">2023-04-04T07:28:00Z</dcterms:modified>
</cp:coreProperties>
</file>